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126" w:rsidRPr="009D7FCA" w:rsidRDefault="00432126" w:rsidP="00432126">
      <w:pPr>
        <w:jc w:val="center"/>
        <w:rPr>
          <w:rFonts w:ascii="Futura Std Medium" w:hAnsi="Futura Std Medium" w:cs="Arial"/>
          <w:lang w:val="es-CO"/>
        </w:rPr>
      </w:pPr>
      <w:bookmarkStart w:id="0" w:name="_GoBack"/>
      <w:bookmarkEnd w:id="0"/>
    </w:p>
    <w:p w:rsidR="00432126" w:rsidRPr="009D7FCA" w:rsidRDefault="00432126" w:rsidP="00432126">
      <w:pPr>
        <w:pStyle w:val="Default"/>
        <w:jc w:val="both"/>
        <w:rPr>
          <w:rFonts w:ascii="Futura Std Medium" w:hAnsi="Futura Std Medium"/>
          <w:bCs/>
          <w:color w:val="auto"/>
          <w:sz w:val="20"/>
          <w:szCs w:val="20"/>
          <w:lang w:val="es-CO"/>
        </w:rPr>
      </w:pPr>
    </w:p>
    <w:tbl>
      <w:tblPr>
        <w:tblW w:w="155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 xml:space="preserve">Pregunta 1 </w:t>
            </w:r>
          </w:p>
        </w:tc>
      </w:tr>
      <w:tr w:rsidR="00432126" w:rsidRPr="00416867" w:rsidTr="00622908">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Los párrafos 1.23 a 1.37 describen los retos identificados y proporciona una explicación de sus causas.</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¿Está de acuerdo con esta descripción de los retos y sus causas? ¿Por qué si o por qué no? ¿Considera que existen otros factores que contribuyen a los retos?</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¿Está de acuerdo en que los retos identificados son importantes para los usuarios de los estados financieros y son suficientemente predominantes para requerir actividad de emisión de normas?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842308" w:rsidRPr="00416867" w:rsidTr="00622908">
        <w:tc>
          <w:tcPr>
            <w:tcW w:w="1384" w:type="dxa"/>
            <w:shd w:val="clear" w:color="auto" w:fill="auto"/>
          </w:tcPr>
          <w:p w:rsidR="00842308" w:rsidRPr="009D7FCA" w:rsidRDefault="00887324" w:rsidP="00622908">
            <w:pPr>
              <w:pStyle w:val="IASBTableTNR"/>
              <w:spacing w:before="60" w:after="60"/>
              <w:rPr>
                <w:rFonts w:ascii="Futura Std Medium" w:hAnsi="Futura Std Medium"/>
                <w:b/>
                <w:sz w:val="20"/>
                <w:lang w:val="es-CO"/>
              </w:rPr>
            </w:pPr>
            <w:r>
              <w:rPr>
                <w:rFonts w:ascii="Futura Std Medium" w:hAnsi="Futura Std Medium"/>
                <w:b/>
                <w:sz w:val="20"/>
                <w:lang w:val="es-CO"/>
              </w:rPr>
              <w:t>Posición País</w:t>
            </w:r>
          </w:p>
        </w:tc>
        <w:tc>
          <w:tcPr>
            <w:tcW w:w="14207" w:type="dxa"/>
            <w:shd w:val="clear" w:color="auto" w:fill="auto"/>
            <w:vAlign w:val="bottom"/>
          </w:tcPr>
          <w:p w:rsidR="00842308" w:rsidRDefault="00842308" w:rsidP="00842308">
            <w:pPr>
              <w:pStyle w:val="IASBTableTNR"/>
              <w:numPr>
                <w:ilvl w:val="0"/>
                <w:numId w:val="17"/>
              </w:numPr>
              <w:spacing w:before="60" w:after="60"/>
              <w:rPr>
                <w:rFonts w:ascii="Futura Std Medium" w:eastAsiaTheme="minorHAnsi" w:hAnsi="Futura Std Medium" w:cs="Arial"/>
                <w:color w:val="000000" w:themeColor="text1"/>
                <w:sz w:val="20"/>
                <w:lang w:val="es-CO" w:eastAsia="en-US" w:bidi="ar-SA"/>
              </w:rPr>
            </w:pPr>
            <w:r>
              <w:rPr>
                <w:rFonts w:ascii="Futura Std Medium" w:eastAsiaTheme="minorHAnsi" w:hAnsi="Futura Std Medium" w:cs="Arial"/>
                <w:color w:val="000000" w:themeColor="text1"/>
                <w:sz w:val="20"/>
                <w:lang w:val="es-CO" w:eastAsia="en-US" w:bidi="ar-SA"/>
              </w:rPr>
              <w:t xml:space="preserve">Sí, porque la evolución continua del mercado, la innovación financiera, los cambios en las regulaciones del capital bancario y la creación de nuevos modelos de inversión han generado un amplio abanico de instrumentos financieros que combinan varias características, incluyendo particularidades de bonos y acciones ordinarias simples (instrumentos financieros con características de patrimonio), por esta razón es válida la necesidad de plantear reglas para la clasificación de pasivos e instrumentos de patrimonio. En articular, cada vez hay más emisiones de instrumentos de deuda que a pesar de entregar flujos de caja, se pactan condiciones que hacen que los inversionistas asuman riesgos sobre el capital de la entidad (adsorción de pérdidas, perdidas a nivel de solvencia y subordinación comparable a participaciones patrimoniales). </w:t>
            </w:r>
          </w:p>
          <w:p w:rsidR="00842308" w:rsidRPr="00416867" w:rsidRDefault="00842308" w:rsidP="00842308">
            <w:pPr>
              <w:pStyle w:val="IASBTableTNR"/>
              <w:numPr>
                <w:ilvl w:val="0"/>
                <w:numId w:val="17"/>
              </w:numPr>
              <w:spacing w:before="60" w:after="60"/>
              <w:rPr>
                <w:rFonts w:ascii="Futura Std Medium" w:eastAsiaTheme="minorHAnsi" w:hAnsi="Futura Std Medium" w:cs="Arial"/>
                <w:color w:val="000000" w:themeColor="text1"/>
                <w:sz w:val="20"/>
                <w:lang w:val="es-CO" w:eastAsia="en-US" w:bidi="ar-SA"/>
              </w:rPr>
            </w:pPr>
            <w:r>
              <w:rPr>
                <w:rFonts w:ascii="Futura Std Medium" w:eastAsiaTheme="minorHAnsi" w:hAnsi="Futura Std Medium" w:cs="Arial"/>
                <w:color w:val="000000" w:themeColor="text1"/>
                <w:sz w:val="20"/>
                <w:lang w:val="es-CO" w:eastAsia="en-US" w:bidi="ar-SA"/>
              </w:rPr>
              <w:t>Sí, porque contar con requerimientos y características claramente definidas en las NIIF para reconocer los pasivos financieros e instrumentos de patrimonio, proporcionarían información más útil y relevante sobre estos. La calificación resulta determinante dado que esta impacta indicadores financieros, como solvencia, apalancamiento y otros de orden legal como el patrimonio técnico, por ejemplo, para una entidad financiera.</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2</w:t>
            </w:r>
          </w:p>
        </w:tc>
      </w:tr>
      <w:tr w:rsidR="00432126" w:rsidRPr="00416867" w:rsidTr="00622908">
        <w:trPr>
          <w:trHeight w:val="1398"/>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El enfoque preferido del Consejo de clasificación clasificaría un derecho como un pasivo si contiene:</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una obligación inevitable de transferir recursos económicos en un momento especificado distinto al de la liquidación de la entidad; o</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una obligación inevitable por un importe independiente de los recursos económicos disponibles de la entidad.</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Esto es porque, en opinión del Consejo, la información sobre estas dos características es relevante para las evaluaciones de situación financiera y rendimiento financiero de la entidad, como se resume en el párrafo 2.50.</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La opinión preliminar del Consejo es que la información sobre otras características de los derechos sobre la entidad debe proporcionarse a través de la presentación e información a revelar.</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usted de acuerdo?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2C43E5" w:rsidRPr="00416867" w:rsidTr="00622908">
        <w:tc>
          <w:tcPr>
            <w:tcW w:w="1384" w:type="dxa"/>
            <w:shd w:val="clear" w:color="auto" w:fill="auto"/>
          </w:tcPr>
          <w:p w:rsidR="002C43E5" w:rsidRPr="009D7FCA" w:rsidRDefault="00887324" w:rsidP="00622908">
            <w:pPr>
              <w:pStyle w:val="IASBTableTNR"/>
              <w:spacing w:before="60" w:after="60"/>
              <w:rPr>
                <w:rFonts w:ascii="Futura Std Medium" w:hAnsi="Futura Std Medium"/>
                <w:b/>
                <w:sz w:val="20"/>
                <w:lang w:val="es-CO"/>
              </w:rPr>
            </w:pPr>
            <w:r>
              <w:rPr>
                <w:rFonts w:ascii="Futura Std Medium" w:hAnsi="Futura Std Medium"/>
                <w:b/>
                <w:sz w:val="20"/>
                <w:lang w:val="es-CO"/>
              </w:rPr>
              <w:t>Posición País</w:t>
            </w:r>
          </w:p>
        </w:tc>
        <w:tc>
          <w:tcPr>
            <w:tcW w:w="14207" w:type="dxa"/>
            <w:shd w:val="clear" w:color="auto" w:fill="auto"/>
            <w:vAlign w:val="bottom"/>
          </w:tcPr>
          <w:p w:rsidR="002C43E5" w:rsidRDefault="002C43E5" w:rsidP="00622908">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Si, responde a las necesidad de tener criterios claros de clasificación de os instrumentos financieros de deuda o patrimonio, ateniendo a las dos condiciones planteadas de la obligación de transferir recursos en un momento diferente de la liquidación y sin importar la disponibilidad de recursos de la entidad.</w:t>
            </w:r>
          </w:p>
          <w:p w:rsidR="002C43E5" w:rsidRPr="009D7FCA" w:rsidRDefault="002C43E5" w:rsidP="00622908">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lastRenderedPageBreak/>
              <w:t>Adicionalmente, el Consejo debería emitir guías para la evaluación de instrumentos financieros con características especiales como un bono a perpetuidad con o sin mecanismos de adsorción de perdidas, entre otros.</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8"/>
      </w:tblGrid>
      <w:tr w:rsidR="00432126" w:rsidRPr="00416867" w:rsidTr="00622908">
        <w:tc>
          <w:tcPr>
            <w:tcW w:w="15608"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3</w:t>
            </w:r>
          </w:p>
        </w:tc>
      </w:tr>
      <w:tr w:rsidR="00432126" w:rsidRPr="00416867" w:rsidTr="00622908">
        <w:trPr>
          <w:trHeight w:val="436"/>
        </w:trPr>
        <w:tc>
          <w:tcPr>
            <w:tcW w:w="15608"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 xml:space="preserve">La opinión preliminar del Consejo es que un instrumento financiero no derivado debe clasificarse como un pasivo financiero si contiene: </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una obligación contractual inevitable de transferir efectivo u otro activo financiero en un momento especificado distinto al de la liquidación de la entidad; o</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una obligación contractual inevitable por un importe independiente de los recursos económicos disponibles de la entidad.</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Este también será el caso si el instrumento financiero tiene al menos un resultado de liquidación que tiene las características de un pasivo financiero no derivado.</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usted de acuerdo?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2C43E5" w:rsidRPr="00416867" w:rsidTr="00622908">
        <w:tc>
          <w:tcPr>
            <w:tcW w:w="1384" w:type="dxa"/>
            <w:shd w:val="clear" w:color="auto" w:fill="auto"/>
          </w:tcPr>
          <w:p w:rsidR="002C43E5" w:rsidRPr="009D7FCA" w:rsidRDefault="00887324" w:rsidP="00622908">
            <w:pPr>
              <w:pStyle w:val="IASBTableTNR"/>
              <w:spacing w:before="60" w:after="60"/>
              <w:rPr>
                <w:rFonts w:ascii="Futura Std Medium" w:hAnsi="Futura Std Medium"/>
                <w:b/>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2C43E5" w:rsidRDefault="002C43E5" w:rsidP="00622908">
            <w:pPr>
              <w:jc w:val="both"/>
              <w:rPr>
                <w:rFonts w:ascii="Futura Std Medium" w:hAnsi="Futura Std Medium" w:cs="Arial"/>
                <w:color w:val="000000" w:themeColor="text1"/>
                <w:lang w:val="es-CO"/>
              </w:rPr>
            </w:pPr>
            <w:r>
              <w:rPr>
                <w:rFonts w:ascii="Futura Std Medium" w:hAnsi="Futura Std Medium" w:cs="Arial"/>
                <w:color w:val="000000" w:themeColor="text1"/>
                <w:lang w:val="es-CO"/>
              </w:rPr>
              <w:t xml:space="preserve">Si, </w:t>
            </w:r>
            <w:r w:rsidR="007424CA">
              <w:rPr>
                <w:rFonts w:ascii="Futura Std Medium" w:hAnsi="Futura Std Medium" w:cs="Arial"/>
                <w:color w:val="000000" w:themeColor="text1"/>
                <w:lang w:val="es-CO"/>
              </w:rPr>
              <w:t>está</w:t>
            </w:r>
            <w:r>
              <w:rPr>
                <w:rFonts w:ascii="Futura Std Medium" w:hAnsi="Futura Std Medium" w:cs="Arial"/>
                <w:color w:val="000000" w:themeColor="text1"/>
                <w:lang w:val="es-CO"/>
              </w:rPr>
              <w:t xml:space="preserve"> alineado en gran parte con la clasificación que proponía la NIC 32 y bajo el nuevo enfoque preferido del Consejo se establece dos características requeridas para la clasificación de instrumentos financieros, bien sea en p</w:t>
            </w:r>
            <w:r w:rsidR="007424CA">
              <w:rPr>
                <w:rFonts w:ascii="Futura Std Medium" w:hAnsi="Futura Std Medium" w:cs="Arial"/>
                <w:color w:val="000000" w:themeColor="text1"/>
                <w:lang w:val="es-CO"/>
              </w:rPr>
              <w:t>a</w:t>
            </w:r>
            <w:r>
              <w:rPr>
                <w:rFonts w:ascii="Futura Std Medium" w:hAnsi="Futura Std Medium" w:cs="Arial"/>
                <w:color w:val="000000" w:themeColor="text1"/>
                <w:lang w:val="es-CO"/>
              </w:rPr>
              <w:t>sivos o patrimonio, atendiendo a la obligación inevitable de transferir recursos en un mome</w:t>
            </w:r>
            <w:r w:rsidR="007424CA">
              <w:rPr>
                <w:rFonts w:ascii="Futura Std Medium" w:hAnsi="Futura Std Medium" w:cs="Arial"/>
                <w:color w:val="000000" w:themeColor="text1"/>
                <w:lang w:val="es-CO"/>
              </w:rPr>
              <w:t>n</w:t>
            </w:r>
            <w:r>
              <w:rPr>
                <w:rFonts w:ascii="Futura Std Medium" w:hAnsi="Futura Std Medium" w:cs="Arial"/>
                <w:color w:val="000000" w:themeColor="text1"/>
                <w:lang w:val="es-CO"/>
              </w:rPr>
              <w:t>t</w:t>
            </w:r>
            <w:r w:rsidR="007424CA">
              <w:rPr>
                <w:rFonts w:ascii="Futura Std Medium" w:hAnsi="Futura Std Medium" w:cs="Arial"/>
                <w:color w:val="000000" w:themeColor="text1"/>
                <w:lang w:val="es-CO"/>
              </w:rPr>
              <w:t>o</w:t>
            </w:r>
            <w:r>
              <w:rPr>
                <w:rFonts w:ascii="Futura Std Medium" w:hAnsi="Futura Std Medium" w:cs="Arial"/>
                <w:color w:val="000000" w:themeColor="text1"/>
                <w:lang w:val="es-CO"/>
              </w:rPr>
              <w:t xml:space="preserve"> diferente de la liquidación y a la obligación independientemente de la disponibilidad de recursos.</w:t>
            </w:r>
          </w:p>
          <w:p w:rsidR="002C43E5" w:rsidRPr="009D7FCA" w:rsidRDefault="002C43E5" w:rsidP="00622908">
            <w:pPr>
              <w:jc w:val="both"/>
              <w:rPr>
                <w:rFonts w:ascii="Futura Std Medium" w:hAnsi="Futura Std Medium" w:cs="Arial"/>
                <w:color w:val="000000" w:themeColor="text1"/>
                <w:lang w:val="es-CO"/>
              </w:rPr>
            </w:pPr>
            <w:r>
              <w:rPr>
                <w:rFonts w:ascii="Futura Std Medium" w:hAnsi="Futura Std Medium" w:cs="Arial"/>
                <w:color w:val="000000" w:themeColor="text1"/>
                <w:lang w:val="es-CO"/>
              </w:rPr>
              <w:t>Adicionalmente, este criterio contiene el principio par</w:t>
            </w:r>
            <w:r w:rsidR="007424CA">
              <w:rPr>
                <w:rFonts w:ascii="Futura Std Medium" w:hAnsi="Futura Std Medium" w:cs="Arial"/>
                <w:color w:val="000000" w:themeColor="text1"/>
                <w:lang w:val="es-CO"/>
              </w:rPr>
              <w:t>a r</w:t>
            </w:r>
            <w:r>
              <w:rPr>
                <w:rFonts w:ascii="Futura Std Medium" w:hAnsi="Futura Std Medium" w:cs="Arial"/>
                <w:color w:val="000000" w:themeColor="text1"/>
                <w:lang w:val="es-CO"/>
              </w:rPr>
              <w:t xml:space="preserve">ealizar la </w:t>
            </w:r>
            <w:r w:rsidR="007424CA">
              <w:rPr>
                <w:rFonts w:ascii="Futura Std Medium" w:hAnsi="Futura Std Medium" w:cs="Arial"/>
                <w:color w:val="000000" w:themeColor="text1"/>
                <w:lang w:val="es-CO"/>
              </w:rPr>
              <w:t>bifurcación</w:t>
            </w:r>
            <w:r>
              <w:rPr>
                <w:rFonts w:ascii="Futura Std Medium" w:hAnsi="Futura Std Medium" w:cs="Arial"/>
                <w:color w:val="000000" w:themeColor="text1"/>
                <w:lang w:val="es-CO"/>
              </w:rPr>
              <w:t xml:space="preserve"> de condiciones contractuales</w:t>
            </w:r>
            <w:r w:rsidR="007424CA">
              <w:rPr>
                <w:rFonts w:ascii="Futura Std Medium" w:hAnsi="Futura Std Medium" w:cs="Arial"/>
                <w:color w:val="000000" w:themeColor="text1"/>
                <w:lang w:val="es-CO"/>
              </w:rPr>
              <w:t xml:space="preserve"> </w:t>
            </w:r>
            <w:r>
              <w:rPr>
                <w:rFonts w:ascii="Futura Std Medium" w:hAnsi="Futura Std Medium" w:cs="Arial"/>
                <w:color w:val="000000" w:themeColor="text1"/>
                <w:lang w:val="es-CO"/>
              </w:rPr>
              <w:t>que pueden hacer que un instrumento contenga un componente de pasivo y uno de patrimonio. Por otra parte, los criterios para aplicar a las posibilidades de l</w:t>
            </w:r>
            <w:r w:rsidR="007424CA">
              <w:rPr>
                <w:rFonts w:ascii="Futura Std Medium" w:hAnsi="Futura Std Medium" w:cs="Arial"/>
                <w:color w:val="000000" w:themeColor="text1"/>
                <w:lang w:val="es-CO"/>
              </w:rPr>
              <w:t>o</w:t>
            </w:r>
            <w:r>
              <w:rPr>
                <w:rFonts w:ascii="Futura Std Medium" w:hAnsi="Futura Std Medium" w:cs="Arial"/>
                <w:color w:val="000000" w:themeColor="text1"/>
                <w:lang w:val="es-CO"/>
              </w:rPr>
              <w:t>s resultados de liquidación en los instrumentos, elimina las discrepancias en las conclusiones sobre l</w:t>
            </w:r>
            <w:r w:rsidR="007424CA">
              <w:rPr>
                <w:rFonts w:ascii="Futura Std Medium" w:hAnsi="Futura Std Medium" w:cs="Arial"/>
                <w:color w:val="000000" w:themeColor="text1"/>
                <w:lang w:val="es-CO"/>
              </w:rPr>
              <w:t>a</w:t>
            </w:r>
            <w:r>
              <w:rPr>
                <w:rFonts w:ascii="Futura Std Medium" w:hAnsi="Futura Std Medium" w:cs="Arial"/>
                <w:color w:val="000000" w:themeColor="text1"/>
                <w:lang w:val="es-CO"/>
              </w:rPr>
              <w:t xml:space="preserve"> </w:t>
            </w:r>
            <w:r w:rsidR="007424CA">
              <w:rPr>
                <w:rFonts w:ascii="Futura Std Medium" w:hAnsi="Futura Std Medium" w:cs="Arial"/>
                <w:color w:val="000000" w:themeColor="text1"/>
                <w:lang w:val="es-CO"/>
              </w:rPr>
              <w:t>clasificación</w:t>
            </w:r>
            <w:r>
              <w:rPr>
                <w:rFonts w:ascii="Futura Std Medium" w:hAnsi="Futura Std Medium" w:cs="Arial"/>
                <w:color w:val="000000" w:themeColor="text1"/>
                <w:lang w:val="es-CO"/>
              </w:rPr>
              <w:t xml:space="preserve"> que se </w:t>
            </w:r>
            <w:r w:rsidR="007424CA">
              <w:rPr>
                <w:rFonts w:ascii="Futura Std Medium" w:hAnsi="Futura Std Medium" w:cs="Arial"/>
                <w:color w:val="000000" w:themeColor="text1"/>
                <w:lang w:val="es-CO"/>
              </w:rPr>
              <w:t>presentan</w:t>
            </w:r>
            <w:r>
              <w:rPr>
                <w:rFonts w:ascii="Futura Std Medium" w:hAnsi="Futura Std Medium" w:cs="Arial"/>
                <w:color w:val="000000" w:themeColor="text1"/>
                <w:lang w:val="es-CO"/>
              </w:rPr>
              <w:t xml:space="preserve"> actualmente al a</w:t>
            </w:r>
            <w:r w:rsidR="007424CA">
              <w:rPr>
                <w:rFonts w:ascii="Futura Std Medium" w:hAnsi="Futura Std Medium" w:cs="Arial"/>
                <w:color w:val="000000" w:themeColor="text1"/>
                <w:lang w:val="es-CO"/>
              </w:rPr>
              <w:t>p</w:t>
            </w:r>
            <w:r>
              <w:rPr>
                <w:rFonts w:ascii="Futura Std Medium" w:hAnsi="Futura Std Medium" w:cs="Arial"/>
                <w:color w:val="000000" w:themeColor="text1"/>
                <w:lang w:val="es-CO"/>
              </w:rPr>
              <w:t xml:space="preserve">licar la NIC 32 a instrumentos con opciones de liquidación por un importe fijo de </w:t>
            </w:r>
            <w:r w:rsidR="007424CA">
              <w:rPr>
                <w:rFonts w:ascii="Futura Std Medium" w:hAnsi="Futura Std Medium" w:cs="Arial"/>
                <w:color w:val="000000" w:themeColor="text1"/>
                <w:lang w:val="es-CO"/>
              </w:rPr>
              <w:t>instrumentos</w:t>
            </w:r>
            <w:r>
              <w:rPr>
                <w:rFonts w:ascii="Futura Std Medium" w:hAnsi="Futura Std Medium" w:cs="Arial"/>
                <w:color w:val="000000" w:themeColor="text1"/>
                <w:lang w:val="es-CO"/>
              </w:rPr>
              <w:t xml:space="preserve"> de patrimonio propio.</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4</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La opinión preliminar del Consejo, es que la excepción de con opción de venta sería requerida según el enfoque preferido del Consejo. ¿Está usted de acuerdo?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7424CA" w:rsidRPr="00416867" w:rsidTr="00622908">
        <w:tc>
          <w:tcPr>
            <w:tcW w:w="1384" w:type="dxa"/>
            <w:shd w:val="clear" w:color="auto" w:fill="auto"/>
          </w:tcPr>
          <w:p w:rsidR="007424CA" w:rsidRPr="007424CA" w:rsidRDefault="00887324" w:rsidP="00622908">
            <w:pPr>
              <w:pStyle w:val="IASBTableTNR"/>
              <w:spacing w:before="60" w:after="60"/>
              <w:rPr>
                <w:rFonts w:ascii="Futura Std Medium" w:hAnsi="Futura Std Medium" w:cs="Arial"/>
                <w:color w:val="000000" w:themeColor="text1"/>
                <w:sz w:val="20"/>
                <w:lang w:val="es-CO" w:eastAsia="pt-BR" w:bidi="ar-SA"/>
              </w:rPr>
            </w:pPr>
            <w:r w:rsidRPr="009D7FCA">
              <w:rPr>
                <w:rFonts w:ascii="Futura Std Medium" w:hAnsi="Futura Std Medium"/>
                <w:b/>
                <w:sz w:val="20"/>
                <w:lang w:val="es-CO"/>
              </w:rPr>
              <w:t>Posición País</w:t>
            </w:r>
          </w:p>
        </w:tc>
        <w:tc>
          <w:tcPr>
            <w:tcW w:w="14207" w:type="dxa"/>
            <w:shd w:val="clear" w:color="auto" w:fill="auto"/>
            <w:vAlign w:val="bottom"/>
          </w:tcPr>
          <w:p w:rsidR="007424CA" w:rsidRPr="007424CA" w:rsidRDefault="007424CA" w:rsidP="007424CA">
            <w:pPr>
              <w:pStyle w:val="Prrafodelista"/>
              <w:autoSpaceDE w:val="0"/>
              <w:autoSpaceDN w:val="0"/>
              <w:ind w:left="0"/>
              <w:rPr>
                <w:rFonts w:ascii="Futura Std Medium" w:eastAsia="Times New Roman" w:hAnsi="Futura Std Medium" w:cs="Arial"/>
                <w:color w:val="000000" w:themeColor="text1"/>
                <w:sz w:val="20"/>
                <w:szCs w:val="20"/>
                <w:lang w:eastAsia="pt-BR"/>
              </w:rPr>
            </w:pPr>
            <w:r w:rsidRPr="007424CA">
              <w:rPr>
                <w:rFonts w:ascii="Futura Std Medium" w:eastAsia="Times New Roman" w:hAnsi="Futura Std Medium" w:cs="Arial"/>
                <w:color w:val="000000" w:themeColor="text1"/>
                <w:sz w:val="20"/>
                <w:szCs w:val="20"/>
                <w:lang w:eastAsia="pt-BR"/>
              </w:rPr>
              <w:t xml:space="preserve">No, la clasificación de estos instrumentos como pasivo proporcionaría información más relevante sobre las perspectivas de los flujos de caja para cumplir con las obligaciones que, aunque se proporcionaría dicha información a través de revelaciones, podría dar lugar a complejidad para el entendimiento de los usuarios de la información financiera. Adicionalmente, la medición del valor razonable del pasivo con cambios al otro resultado integral entregaría información actualizada (valor corriente) sobre la transacción. </w:t>
            </w:r>
          </w:p>
          <w:p w:rsidR="007424CA" w:rsidRPr="007424CA" w:rsidRDefault="007424CA" w:rsidP="007424CA">
            <w:pPr>
              <w:pStyle w:val="Prrafodelista"/>
              <w:autoSpaceDE w:val="0"/>
              <w:autoSpaceDN w:val="0"/>
              <w:ind w:left="0"/>
              <w:rPr>
                <w:rFonts w:ascii="Futura Std Medium" w:eastAsia="Times New Roman" w:hAnsi="Futura Std Medium" w:cs="Arial"/>
                <w:color w:val="000000" w:themeColor="text1"/>
                <w:sz w:val="20"/>
                <w:szCs w:val="20"/>
                <w:lang w:eastAsia="pt-BR"/>
              </w:rPr>
            </w:pPr>
          </w:p>
          <w:p w:rsidR="007424CA" w:rsidRPr="009D7FCA" w:rsidRDefault="007424CA" w:rsidP="007424CA">
            <w:pPr>
              <w:pStyle w:val="Default"/>
              <w:rPr>
                <w:rFonts w:ascii="Futura Std Medium" w:eastAsia="Times New Roman" w:hAnsi="Futura Std Medium" w:cs="Arial"/>
                <w:color w:val="000000" w:themeColor="text1"/>
                <w:sz w:val="20"/>
                <w:szCs w:val="20"/>
                <w:lang w:val="es-CO"/>
              </w:rPr>
            </w:pPr>
            <w:r w:rsidRPr="007424CA">
              <w:rPr>
                <w:rFonts w:ascii="Futura Std Medium" w:eastAsia="Times New Roman" w:hAnsi="Futura Std Medium" w:cs="Arial"/>
                <w:color w:val="000000" w:themeColor="text1"/>
                <w:sz w:val="20"/>
                <w:szCs w:val="20"/>
                <w:lang w:val="es-CO"/>
              </w:rPr>
              <w:t>También consideramos que se podría llevar a cabo un análisis integral de las circunstancias que motivaron dicha excepción para buscar su solución mediante los ajustes o modificaciones que sean requeridas en las NIIF, para eliminar las mismas y evitar la aplicación de tratamientos por vías de excepción, que no estén en concordancia con el principio general.</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lastRenderedPageBreak/>
              <w:t>Pregunta 5</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 xml:space="preserve">La opinión preliminar del Consejo para la clasificación de derivados sobre patrimonio propio—distintos de los derivados que incluyen una obligación de cancelar instrumentos de patrimonio propio de una entidad—son los siguientes: </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un derivado sobre patrimonio propio puede clasificarse en su totalidad como un instrumento de patrimonio, un activo financiero o un pasivo financiero; las patas individuales del intercambio no se clasificarían por separado; y</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 xml:space="preserve">un derivado sobre patrimonio propio se clasifica como un activo financiero o un pasivo financiero si: </w:t>
            </w:r>
          </w:p>
          <w:p w:rsidR="00432126" w:rsidRPr="009D7FCA" w:rsidRDefault="00432126" w:rsidP="00622908">
            <w:pPr>
              <w:pStyle w:val="IASBNormalL2"/>
              <w:rPr>
                <w:rFonts w:ascii="Futura Std Medium" w:hAnsi="Futura Std Medium"/>
                <w:sz w:val="20"/>
                <w:lang w:val="es-CO"/>
              </w:rPr>
            </w:pPr>
            <w:r w:rsidRPr="009D7FCA">
              <w:rPr>
                <w:rFonts w:ascii="Futura Std Medium" w:hAnsi="Futura Std Medium"/>
                <w:sz w:val="20"/>
                <w:lang w:val="es-CO"/>
              </w:rPr>
              <w:t>(i)</w:t>
            </w:r>
            <w:r w:rsidRPr="009D7FCA">
              <w:rPr>
                <w:rFonts w:ascii="Futura Std Medium" w:hAnsi="Futura Std Medium"/>
                <w:sz w:val="20"/>
                <w:lang w:val="es-CO"/>
              </w:rPr>
              <w:tab/>
              <w:t>se liquida en efectivo por el neto—el derivado requiere que la entidad entregue efectivo u otro activo financiero, o contenga un derecho a recibir efectivo, por el importe neto en un momento especificado distinto del de la liquidación de la entidad; o</w:t>
            </w:r>
          </w:p>
          <w:p w:rsidR="00432126" w:rsidRPr="009D7FCA" w:rsidRDefault="00432126" w:rsidP="00622908">
            <w:pPr>
              <w:pStyle w:val="IASBNormalL2"/>
              <w:rPr>
                <w:rFonts w:ascii="Futura Std Medium" w:hAnsi="Futura Std Medium"/>
                <w:sz w:val="20"/>
                <w:lang w:val="es-CO"/>
              </w:rPr>
            </w:pPr>
            <w:r w:rsidRPr="009D7FCA">
              <w:rPr>
                <w:rFonts w:ascii="Futura Std Medium" w:hAnsi="Futura Std Medium"/>
                <w:sz w:val="20"/>
                <w:lang w:val="es-CO"/>
              </w:rPr>
              <w:t>(ii)</w:t>
            </w:r>
            <w:r w:rsidRPr="009D7FCA">
              <w:rPr>
                <w:rFonts w:ascii="Futura Std Medium" w:hAnsi="Futura Std Medium"/>
                <w:sz w:val="20"/>
                <w:lang w:val="es-CO"/>
              </w:rPr>
              <w:tab/>
              <w:t>el importe neto del derivado se ve afectado por una variable que es independiente de los recursos económicos disponibles de la entidad.</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usted de acuerdo?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887324" w:rsidRPr="00416867" w:rsidTr="00622908">
        <w:tc>
          <w:tcPr>
            <w:tcW w:w="1384" w:type="dxa"/>
            <w:shd w:val="clear" w:color="auto" w:fill="auto"/>
          </w:tcPr>
          <w:p w:rsidR="00887324" w:rsidRPr="009D7FCA" w:rsidRDefault="00887324" w:rsidP="00887324">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887324" w:rsidRPr="009D7FCA" w:rsidRDefault="00887324" w:rsidP="00887324">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Si, en efecto el enfoque preferido del Consejo simplifica los criterios para la clasificación y otorga una base más general para tomar decisiones sobre la misma. Se solicita al Consejo establecer requerimientos de revelación específicos sobre ganancias por acción y efectos en los flujos de efectivo de la entidad si los hubiere, ya que bajo NIC 32, al clasificarse como activo o pasivo financiero permite a los usuarios de la información identificar las obligaciones y prever impactos sobre los flujos de caja de la entidad.</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6</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de acuerdo con las opiniones preliminares del Consejo establecidas en los párrafos 5.48(a) y (b)? ¿Por qué si o por qué no? Con la aplicación de estas opiniones preliminares a un derivado que podría dar lugar a la cancelación de los instrumentos de patrimonio propio de una entidad, tal como una opción de venta emitida sobre acciones propios, daría lugar la contabilización como se describe en el párrafo 5.30 y como se ilustra en los párrafos 5.33 y 5.34.</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 xml:space="preserve">Para instrumentos financieros con resultados de liquidación alternativos que no contienen una obligación contractual inevitable que tiene la característica (o características) de un pasivo financiero como se describe en el párrafo 5.48(c), el Consejo consideró posibles formas de proporcionar información sobre los resultados de liquidación alternativos como se describe en los párrafos 5.43 a 5.47. </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¿Está de acuerdo en que el Consejo debería abordar esta cuestión? ¿Por qué si o por qué no?</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Si es así, ¿qué enfoque considera que sería más efectivo al proporcionar la información, y por qué?</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887324" w:rsidRPr="00416867" w:rsidTr="00622908">
        <w:tc>
          <w:tcPr>
            <w:tcW w:w="1384" w:type="dxa"/>
            <w:shd w:val="clear" w:color="auto" w:fill="auto"/>
          </w:tcPr>
          <w:p w:rsidR="00887324" w:rsidRPr="009D7FCA" w:rsidRDefault="00887324" w:rsidP="00887324">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887324" w:rsidRPr="009D7FCA" w:rsidRDefault="00887324" w:rsidP="00887324">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 xml:space="preserve">Si, el enfoque de clasificación dado por el Consejo se considera </w:t>
            </w:r>
            <w:proofErr w:type="gramStart"/>
            <w:r>
              <w:rPr>
                <w:rFonts w:ascii="Futura Std Medium" w:eastAsia="Times New Roman" w:hAnsi="Futura Std Medium" w:cs="Arial"/>
                <w:color w:val="000000" w:themeColor="text1"/>
                <w:sz w:val="20"/>
                <w:szCs w:val="20"/>
                <w:lang w:val="es-CO"/>
              </w:rPr>
              <w:t>practico</w:t>
            </w:r>
            <w:proofErr w:type="gramEnd"/>
            <w:r>
              <w:rPr>
                <w:rFonts w:ascii="Futura Std Medium" w:eastAsia="Times New Roman" w:hAnsi="Futura Std Medium" w:cs="Arial"/>
                <w:color w:val="000000" w:themeColor="text1"/>
                <w:sz w:val="20"/>
                <w:szCs w:val="20"/>
                <w:lang w:val="es-CO"/>
              </w:rPr>
              <w:t xml:space="preserve"> y congruente con la realidad económica de los instrumentos financieros, permitiendo una adecuada clasificación de los mismos. En la NIC 32 se establecen criterios más subjetivos para la clasificación de este tipo de instrumentos porque se basan en el pago fijo o variable con acciones propias mientras el enfoque de clasificación propuesto por el Consejo brinda guías claras que emiten clasificar los derivados sobre patrimonio propio de una forma adecuada.</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lastRenderedPageBreak/>
              <w:t>Pregunta 7</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de acuerdo con las opiniones preliminares del Consejo establecidas en los párrafos 6.53 y 6.54? ¿Por qué si o por qué no?</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El Consejo también consideró si debería requerir o no la separación de derivados implícitos del contrato anfitrión a efectos de los requerimientos de presentación como se trata en los párrafos 6.37 a 6.41. ¿Qué alternativa del párrafo 6.38 considera que encuentra el correcto equilibrio entre los beneficios de proporcionar información útil y los costos de aplicación, y por qué?</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887324" w:rsidRPr="00416867" w:rsidTr="00622908">
        <w:tc>
          <w:tcPr>
            <w:tcW w:w="1384" w:type="dxa"/>
            <w:shd w:val="clear" w:color="auto" w:fill="auto"/>
          </w:tcPr>
          <w:p w:rsidR="00887324" w:rsidRPr="009D7FCA" w:rsidRDefault="00887324" w:rsidP="00887324">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887324" w:rsidRPr="009D7FCA" w:rsidRDefault="00887324" w:rsidP="00887324">
            <w:pPr>
              <w:jc w:val="both"/>
              <w:rPr>
                <w:rFonts w:ascii="Futura Std Medium" w:hAnsi="Futura Std Medium" w:cs="Arial"/>
                <w:color w:val="000000" w:themeColor="text1"/>
                <w:lang w:val="es-CO"/>
              </w:rPr>
            </w:pPr>
            <w:r>
              <w:rPr>
                <w:rFonts w:ascii="Futura Std Medium" w:hAnsi="Futura Std Medium" w:cs="Arial"/>
                <w:color w:val="000000" w:themeColor="text1"/>
                <w:lang w:val="es-CO"/>
              </w:rPr>
              <w:t>Estamos de acuerdo con las opiniones preliminares del Consejo establecidas en los párrafos 6.53 y 6.54 sobre la presentación por separado en el estado de situación financiera y en el estado de rendimiento financiero, aplicando el enfoque basado en criterios ya que contribuye de mejor forma al equilibrio entre los objetivos de los requerimientos de presentación y la comprensión por los usuarios de los estados financieros, y tal como lo expone el Consejo, una mejor congruencia entre los requerimientos actuales de desagregación en el estado de situación financiera y en estado de rendimiento financiero teniendo en cuenta que, si se aplicas el enfoque de desagregación, agregaría mayor complejidad para preparadores y mayores costos, que exceden los beneficios, al ser necesaria la desagregación del importe en libros de derivados parcialmente independientes.</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8</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de acuerdo con las opiniones preliminares del Consejo establecidas en los párrafos 6.53 y 6.54? ¿Por qué si o por qué no?</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El Consejo también consideró si debería requerir o no la separación de derivados implícitos del contrato anfitrión a efectos de los requerimientos de presentación como se trata en los párrafos 6.37 a 6.41. ¿Qué alternativa del párrafo 6.38 considera que encuentra el correcto equilibrio entre los beneficios de proporcionar información útil y los costos de aplicación, y por qué?</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887324" w:rsidRPr="00416867" w:rsidTr="00622908">
        <w:tc>
          <w:tcPr>
            <w:tcW w:w="1384" w:type="dxa"/>
            <w:shd w:val="clear" w:color="auto" w:fill="auto"/>
          </w:tcPr>
          <w:p w:rsidR="00887324" w:rsidRPr="009D7FCA" w:rsidRDefault="00887324" w:rsidP="00887324">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887324" w:rsidRDefault="00887324" w:rsidP="00887324">
            <w:pPr>
              <w:pStyle w:val="Default"/>
              <w:numPr>
                <w:ilvl w:val="0"/>
                <w:numId w:val="19"/>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Estamos de acuerdo porque cada instrumento de patrimonio puede tener condiciones totalmente diferentes (acciones ordinarias, acciones preferentes, certificados de compras de acciones, opciones) lo que genera rentabilidades y costos. Así mismo, como lo establece el Marco Conceptual, la información sobre el rendimiento financiero de una entidad ayuda a los usuarios a comprender la rentabilidad que la entidad ha producido a partir de sus recursos económicos. De igual forma, proporciona un indicador del cumplimiento de la gerencia con sus responsabilidades e usar eficiente y eficazmente los recursos de la entidad que informa. La información sobre la variabilidad y componentes de esa rentabilidad es también impórtate, especialmente para evaluar a incertidumbre de los flujos de efectivo futuros y la capacidad que tiene la entidad de generar entradas de efectivo netas en la medida que se puedan presentar cambios en los precios, tasas, etc. Esta información es de gran utilidad para que los usuarios de los estados financieros puedan tomar decisiones de mantener, comprar o vender una inversión en un instrumento de patrimonio.</w:t>
            </w:r>
          </w:p>
          <w:p w:rsidR="00887324" w:rsidRDefault="00887324" w:rsidP="00887324">
            <w:pPr>
              <w:pStyle w:val="Default"/>
              <w:numPr>
                <w:ilvl w:val="0"/>
                <w:numId w:val="19"/>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Si estaos e acuerdo, dado que estar en línea con la primera pregunta sobre la revelación de estos instrumentos de patrimonio y así mismo debe aplicarse la NIC 33 a los diferentes tipos de instrumentos de patrimonio, ya que se consideran las potenciales acciones ordinarias. Teniendo en cuenta los diferentes tipos de instrumentos de patrimonio, de la misma forma, debe quedar reflejada las ganancias por el tipo de acción con el fin de brindar mayor información a los usuarios de los estados financieros y facilitar la toma de decisiones.</w:t>
            </w:r>
          </w:p>
          <w:p w:rsidR="00887324" w:rsidRDefault="00887324" w:rsidP="00887324">
            <w:pPr>
              <w:pStyle w:val="Default"/>
              <w:ind w:left="720"/>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El consejo no se formó una opinión preliminar en relación con el enfoque de atribución para os instrumentos de patrimonio derivados. Sin embargo, el Consejo considero varios enfoques incluyendo:</w:t>
            </w:r>
          </w:p>
          <w:p w:rsidR="00887324" w:rsidRDefault="00887324" w:rsidP="00887324">
            <w:pPr>
              <w:pStyle w:val="Default"/>
              <w:numPr>
                <w:ilvl w:val="0"/>
                <w:numId w:val="20"/>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Un enfoque del valor razonable total (párrafos 6.74 a 6.78);</w:t>
            </w:r>
          </w:p>
          <w:p w:rsidR="00887324" w:rsidRDefault="00887324" w:rsidP="00887324">
            <w:pPr>
              <w:pStyle w:val="Default"/>
              <w:numPr>
                <w:ilvl w:val="0"/>
                <w:numId w:val="20"/>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lastRenderedPageBreak/>
              <w:t>El enfoque del promedio del periodo (párrafos 6.79 a 6.82);</w:t>
            </w:r>
          </w:p>
          <w:p w:rsidR="00887324" w:rsidRDefault="00887324" w:rsidP="00887324">
            <w:pPr>
              <w:pStyle w:val="Default"/>
              <w:numPr>
                <w:ilvl w:val="0"/>
                <w:numId w:val="20"/>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El enfoque del promedio del periodo (párrafos 6.83 a 6.86); y</w:t>
            </w:r>
          </w:p>
          <w:p w:rsidR="00887324" w:rsidRDefault="00887324" w:rsidP="00887324">
            <w:pPr>
              <w:pStyle w:val="Default"/>
              <w:numPr>
                <w:ilvl w:val="0"/>
                <w:numId w:val="20"/>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No requerir atribución, sino usar la información a revelar como introdujeron los párrafos 6.87 a 6.90, y desarrollaron los párrafos 7.13 a 7.25</w:t>
            </w:r>
          </w:p>
          <w:p w:rsidR="00887324" w:rsidRPr="00E01241" w:rsidRDefault="00887324" w:rsidP="00887324">
            <w:pPr>
              <w:pStyle w:val="Default"/>
              <w:numPr>
                <w:ilvl w:val="0"/>
                <w:numId w:val="19"/>
              </w:numPr>
              <w:rPr>
                <w:rFonts w:ascii="Futura Std Medium" w:eastAsia="Times New Roman" w:hAnsi="Futura Std Medium"/>
                <w:color w:val="auto"/>
                <w:sz w:val="20"/>
                <w:szCs w:val="20"/>
                <w:lang w:val="es-CO" w:eastAsia="es-ES" w:bidi="es-ES"/>
              </w:rPr>
            </w:pPr>
            <w:r>
              <w:rPr>
                <w:rFonts w:ascii="Futura Std Medium" w:eastAsia="Times New Roman" w:hAnsi="Futura Std Medium"/>
                <w:color w:val="auto"/>
                <w:sz w:val="20"/>
                <w:szCs w:val="20"/>
                <w:lang w:val="es-CO" w:eastAsia="es-ES" w:bidi="es-ES"/>
              </w:rPr>
              <w:t>Teniendo en cuenta los costos de los emisores de los estados financieros para desarrollar ,más enfoques  determinar valores razonables o promedios, es conveniente no requerir atribución sino usar la información a revelar como esta en los párrafos 6.87 a 6.90 y 7.13 a 7.25 ya que se han hecho inversiones significativas en la aplicación de algunas normas como la NIF 9 y 15</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9</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La opinión preliminar del Consejo es que proporcionar la siguiente información en las notas a los estados financieros sería útil para los usuarios de los estados financieros:</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Información sobre la prioridad de pasivos financieros e instrumentos de patrimonio en la liquidación de la entidad (véanse los párrafos 7.7 y 7.8). Las entidades podrían optar por presentar los pasivos financieros e instrumentos de patrimonio en orden de prioridad, en el estado de situación financiera o en las notas (véanse los párrafos 6.8 y 6.9).</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Información sobre la dilución potencial de acciones ordinarias. Esta información a revelar incluiría la dilución potencial para todas las emisiones potenciales de acciones ordinarias (véanse los párrafos 7.21 y 7.22).</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(c)</w:t>
            </w:r>
            <w:r w:rsidRPr="009D7FCA">
              <w:rPr>
                <w:rFonts w:ascii="Futura Std Medium" w:hAnsi="Futura Std Medium"/>
                <w:sz w:val="20"/>
                <w:lang w:val="es-CO"/>
              </w:rPr>
              <w:tab/>
              <w:t>Información sobre los términos y condiciones que debe proporcionarse para pasivos financieros e instrumentos de patrimonio en las notas a los estados financieros (véanse los párrafos 7.26 a 7.29).</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de acuerdo con la opinión preliminar del Consejo? ¿Por qué si o por qué no?</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 xml:space="preserve">¿Cómo mejoraría las sugerencias del Consejo para proporcionar información útil a los usuarios de los estados financieros que </w:t>
            </w:r>
            <w:r w:rsidR="00FC17F9" w:rsidRPr="009D7FCA">
              <w:rPr>
                <w:rFonts w:ascii="Futura Std Medium" w:hAnsi="Futura Std Medium"/>
                <w:sz w:val="20"/>
                <w:lang w:val="es-CO"/>
              </w:rPr>
              <w:t>superaran</w:t>
            </w:r>
            <w:r w:rsidRPr="009D7FCA">
              <w:rPr>
                <w:rFonts w:ascii="Futura Std Medium" w:hAnsi="Futura Std Medium"/>
                <w:sz w:val="20"/>
                <w:lang w:val="es-CO"/>
              </w:rPr>
              <w:t xml:space="preserve"> los retos identificados en los párrafos 7.10 y 7.29?</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¿Existen otros retos que considera que debería considerar el Consejo al desarrollar sus opiniones preliminares sobre información a revelar?</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887324" w:rsidRPr="00416867" w:rsidTr="00622908">
        <w:tc>
          <w:tcPr>
            <w:tcW w:w="1384" w:type="dxa"/>
            <w:shd w:val="clear" w:color="auto" w:fill="auto"/>
          </w:tcPr>
          <w:p w:rsidR="00887324" w:rsidRPr="009D7FCA" w:rsidRDefault="00887324" w:rsidP="00887324">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887324" w:rsidRDefault="00887324" w:rsidP="00887324">
            <w:pPr>
              <w:pStyle w:val="Default"/>
              <w:numPr>
                <w:ilvl w:val="0"/>
                <w:numId w:val="25"/>
              </w:numPr>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Respecto al literal a, estamos de acuerdo en que revelar la prioridad de pasivos financieros e instrumentos de patrimonio es importante, pero consideramos que esta información debe revelarse en las notas, mas no en el estado de situación financiera, ya que las reglas cambiarían pues que actualmente, este estado financiero se debe presentar por so orden de liquidez y no en cuanto a la prioridad de pago al momento de una posible liquidación de la entidad. Lo anterior tiene dos (2) razones:</w:t>
            </w:r>
          </w:p>
          <w:p w:rsidR="00887324" w:rsidRDefault="00887324" w:rsidP="00887324">
            <w:pPr>
              <w:pStyle w:val="Default"/>
              <w:numPr>
                <w:ilvl w:val="0"/>
                <w:numId w:val="24"/>
              </w:numPr>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Dar mejor orden a los Estados Financieros. Muchos usuarios no tendrán la necesidad de revisar los destalles de la prioridad de los pasivos financieros e instrumentos de patrimonio por lo cual se deberían manear todo unificado en una sola nota, la cual pueda ser consultada únicamente en cao tal que determinados usuarios lo requiera,</w:t>
            </w:r>
          </w:p>
          <w:p w:rsidR="00887324" w:rsidRDefault="00887324" w:rsidP="00887324">
            <w:pPr>
              <w:pStyle w:val="Default"/>
              <w:numPr>
                <w:ilvl w:val="0"/>
                <w:numId w:val="24"/>
              </w:numPr>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Mantener las reglas actuales de presentación del estado de situación financiera, ya que, si se da la opción a las entidades de modificar el orden de presentación, se perdería uniformidad con respecto a otras entidades y su comprensión y comparación serían más complejas, dado que las algunas entidades van a tomar esta opción y otras no. Adicionalmente, el estado de situación financiera contiene información sustancialmente útil para todo tipo de usuarios y no a todos les sería conveniente que el orden de dicho estado financiero se modifique.</w:t>
            </w:r>
          </w:p>
          <w:p w:rsidR="00887324" w:rsidRDefault="00887324" w:rsidP="00887324">
            <w:pPr>
              <w:pStyle w:val="Default"/>
              <w:ind w:left="708"/>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Respecto al literal B:</w:t>
            </w:r>
          </w:p>
          <w:p w:rsidR="00887324" w:rsidRDefault="00887324" w:rsidP="00887324">
            <w:pPr>
              <w:pStyle w:val="Default"/>
              <w:ind w:left="708"/>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lastRenderedPageBreak/>
              <w:t>El impacto en cuento a la complejidad de elaborar esta información puede ser alto para las entidades, sin embargo, consideramos que definitivamente es muy útil y conveniente para los usuarios de la información, por tanto, estamos de acuerdo.</w:t>
            </w:r>
          </w:p>
          <w:p w:rsidR="00887324" w:rsidRDefault="00887324" w:rsidP="00887324">
            <w:pPr>
              <w:pStyle w:val="Default"/>
              <w:ind w:left="708"/>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Respecto al literal C:</w:t>
            </w:r>
          </w:p>
          <w:p w:rsidR="00887324" w:rsidRDefault="00887324" w:rsidP="00887324">
            <w:pPr>
              <w:pStyle w:val="Default"/>
              <w:ind w:left="708"/>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Consideramos que, si el usuario ya tiene la información de los literales A y B de esta pregunta, es suficiente para poder entender y tomar decisiones; si se llegare a exigir toda la información sobre os términos y condiciones de cada uno de estos instrumentos, podría ser un trabajo excesivo y el tamaño de esta nota podría llegar a ser considerable, por lo cual no estamos de acuerdo.</w:t>
            </w:r>
          </w:p>
          <w:p w:rsidR="00887324" w:rsidRDefault="00887324" w:rsidP="00887324">
            <w:pPr>
              <w:pStyle w:val="Default"/>
              <w:ind w:left="708"/>
              <w:rPr>
                <w:rFonts w:ascii="Futura Std Medium" w:eastAsiaTheme="minorHAnsi" w:hAnsi="Futura Std Medium" w:cs="Arial"/>
                <w:color w:val="000000" w:themeColor="text1"/>
                <w:sz w:val="20"/>
                <w:szCs w:val="20"/>
                <w:lang w:val="es-CO" w:eastAsia="en-US"/>
              </w:rPr>
            </w:pPr>
          </w:p>
          <w:p w:rsidR="00887324" w:rsidRDefault="00887324" w:rsidP="00887324">
            <w:pPr>
              <w:pStyle w:val="Default"/>
              <w:ind w:left="708"/>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Consideramos que, si el usuario ya tiene la información de los literales A y B de esta pregunta, es suficiente para poder entender y tomar decisiones; si se llegare a exigir toda la información sobre los términos y condiciones de cada uno de estos instrumentos, podría ser un trabajo excesivo, y el tamaño de esta nota podría llegar a ser considerable por lo cual no estamos de acuerdo.</w:t>
            </w:r>
          </w:p>
          <w:p w:rsidR="00887324" w:rsidRDefault="00887324" w:rsidP="00887324">
            <w:pPr>
              <w:pStyle w:val="Default"/>
              <w:numPr>
                <w:ilvl w:val="0"/>
                <w:numId w:val="25"/>
              </w:numPr>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No consideramos necesario comentarios adicionales</w:t>
            </w:r>
          </w:p>
          <w:p w:rsidR="00887324" w:rsidRDefault="00887324" w:rsidP="00887324">
            <w:pPr>
              <w:pStyle w:val="Default"/>
              <w:numPr>
                <w:ilvl w:val="0"/>
                <w:numId w:val="25"/>
              </w:numPr>
              <w:rPr>
                <w:rFonts w:ascii="Futura Std Medium" w:eastAsiaTheme="minorHAnsi" w:hAnsi="Futura Std Medium" w:cs="Arial"/>
                <w:color w:val="000000" w:themeColor="text1"/>
                <w:sz w:val="20"/>
                <w:szCs w:val="20"/>
                <w:lang w:val="es-CO" w:eastAsia="en-US"/>
              </w:rPr>
            </w:pPr>
            <w:r>
              <w:rPr>
                <w:rFonts w:ascii="Futura Std Medium" w:eastAsiaTheme="minorHAnsi" w:hAnsi="Futura Std Medium" w:cs="Arial"/>
                <w:color w:val="000000" w:themeColor="text1"/>
                <w:sz w:val="20"/>
                <w:szCs w:val="20"/>
                <w:lang w:val="es-CO" w:eastAsia="en-US"/>
              </w:rPr>
              <w:t>No consideramos necesario comentarios adicionales</w:t>
            </w:r>
          </w:p>
          <w:p w:rsidR="00887324" w:rsidRPr="00416867" w:rsidRDefault="00887324" w:rsidP="00887324">
            <w:pPr>
              <w:pStyle w:val="Default"/>
              <w:ind w:left="720"/>
              <w:rPr>
                <w:rFonts w:ascii="Futura Std Medium" w:eastAsiaTheme="minorHAnsi" w:hAnsi="Futura Std Medium" w:cs="Arial"/>
                <w:color w:val="000000" w:themeColor="text1"/>
                <w:sz w:val="20"/>
                <w:szCs w:val="20"/>
                <w:lang w:val="es-CO" w:eastAsia="en-US"/>
              </w:rPr>
            </w:pP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10</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¿Está de acuerdo con la opinión preliminar del Consejo de que:</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(a)</w:t>
            </w:r>
            <w:r w:rsidRPr="009D7FCA">
              <w:rPr>
                <w:rFonts w:ascii="Futura Std Medium" w:hAnsi="Futura Std Medium"/>
                <w:sz w:val="20"/>
                <w:lang w:val="es-CO"/>
              </w:rPr>
              <w:tab/>
              <w:t>Los incentivos económicos que podrían influir en la decisión del emisor de ejercer sus derechos no se deben considerar al clasificar un instrumento financiero como un pasivo financiero o un instrumento de patrimonio?</w:t>
            </w:r>
          </w:p>
          <w:p w:rsidR="00432126" w:rsidRPr="009D7FCA" w:rsidRDefault="00432126" w:rsidP="00622908">
            <w:pPr>
              <w:pStyle w:val="IASBNormalL1"/>
              <w:rPr>
                <w:rFonts w:ascii="Futura Std Medium" w:hAnsi="Futura Std Medium"/>
                <w:sz w:val="20"/>
                <w:lang w:val="es-CO"/>
              </w:rPr>
            </w:pPr>
            <w:r w:rsidRPr="009D7FCA">
              <w:rPr>
                <w:rFonts w:ascii="Futura Std Medium" w:hAnsi="Futura Std Medium"/>
                <w:sz w:val="20"/>
                <w:lang w:val="es-CO"/>
              </w:rPr>
              <w:t>(b)</w:t>
            </w:r>
            <w:r w:rsidRPr="009D7FCA">
              <w:rPr>
                <w:rFonts w:ascii="Futura Std Medium" w:hAnsi="Futura Std Medium"/>
                <w:sz w:val="20"/>
                <w:lang w:val="es-CO"/>
              </w:rPr>
              <w:tab/>
              <w:t>¿Debe mantenerse los requerimientos del párrafo 20 de la NIC 32 para obligaciones indirectas?</w:t>
            </w:r>
          </w:p>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t>¿Por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887324" w:rsidRPr="00416867" w:rsidTr="00622908">
        <w:tc>
          <w:tcPr>
            <w:tcW w:w="1384" w:type="dxa"/>
            <w:shd w:val="clear" w:color="auto" w:fill="auto"/>
          </w:tcPr>
          <w:p w:rsidR="00887324" w:rsidRPr="009D7FCA" w:rsidRDefault="00887324" w:rsidP="00887324">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shd w:val="clear" w:color="auto" w:fill="auto"/>
            <w:vAlign w:val="bottom"/>
          </w:tcPr>
          <w:p w:rsidR="00887324" w:rsidRPr="00622908" w:rsidRDefault="00887324" w:rsidP="00887324">
            <w:pPr>
              <w:pStyle w:val="Prrafodelista"/>
              <w:numPr>
                <w:ilvl w:val="0"/>
                <w:numId w:val="4"/>
              </w:numPr>
              <w:spacing w:after="0" w:line="240" w:lineRule="auto"/>
              <w:ind w:hanging="357"/>
              <w:jc w:val="both"/>
              <w:rPr>
                <w:rFonts w:ascii="Futura Std Medium" w:hAnsi="Futura Std Medium" w:cs="Arial"/>
                <w:color w:val="000000" w:themeColor="text1"/>
                <w:sz w:val="20"/>
                <w:szCs w:val="20"/>
              </w:rPr>
            </w:pPr>
            <w:r w:rsidRPr="00622908">
              <w:rPr>
                <w:rFonts w:ascii="Futura Std Medium" w:hAnsi="Futura Std Medium" w:cs="Arial"/>
                <w:color w:val="000000" w:themeColor="text1"/>
                <w:sz w:val="20"/>
                <w:szCs w:val="20"/>
              </w:rPr>
              <w:t>Sí estamos de acuerdo, dado que si bien los incentivos económicos son un aspecto significativo en la toma de decisiones, tal como lo indica el Consejo, lo relevante es si la entidad tiene una obligación inevitable, dado que los incentivos económicos no son derechos u obligaciones y la probabilidad que una entidad o un tenedor ejerzan derechos concretos, puede cambiar a lo largo del tiempo. Adicionalmente, esta posición del Consejo está en concordancia con requerimientos actuales como, p.ej., la citada por el Consejo en GA 26 de la NIC 32 y, en concordancia con lo anterior, en la NIIF 2 Pagos Basados en Acciones, en instrumentos financieros que otorgan la facultad al tenedor la opción de liquidar en efectivo o en patrimonio se requiere medir en primera instancia el componente de deuda y en forma residual el componente de patrimonio, teniendo en cuenta que la contraparte debe anular el derecho a recibir efectivo para recibir el instrumento de patrimonio.</w:t>
            </w:r>
          </w:p>
          <w:p w:rsidR="00887324" w:rsidRPr="00622908" w:rsidRDefault="00887324" w:rsidP="00887324">
            <w:pPr>
              <w:pStyle w:val="Prrafodelista"/>
              <w:numPr>
                <w:ilvl w:val="0"/>
                <w:numId w:val="4"/>
              </w:numPr>
              <w:spacing w:after="0" w:line="240" w:lineRule="auto"/>
              <w:ind w:hanging="357"/>
              <w:jc w:val="both"/>
              <w:rPr>
                <w:rFonts w:ascii="Times New Roman" w:eastAsia="Calibri" w:hAnsi="Times New Roman" w:cs="Times New Roman"/>
                <w:color w:val="000000"/>
                <w:sz w:val="19"/>
                <w:szCs w:val="19"/>
              </w:rPr>
            </w:pPr>
            <w:r w:rsidRPr="00622908">
              <w:rPr>
                <w:rFonts w:ascii="Futura Std Medium" w:hAnsi="Futura Std Medium" w:cs="Arial"/>
                <w:color w:val="000000" w:themeColor="text1"/>
                <w:sz w:val="20"/>
                <w:szCs w:val="20"/>
              </w:rPr>
              <w:t>Sí estamos de acuerdo en mantener los requerimientos del párrafo 20 de la NIC 32 para obligaciones indirectas, dado que, como se establece en el párrafo 8.24., no entran en conflicto con el principio general de excluir los incentivos económicos al clasificar un instrumento financiero.</w:t>
            </w:r>
          </w:p>
        </w:tc>
      </w:tr>
    </w:tbl>
    <w:p w:rsidR="00432126" w:rsidRPr="009D7FCA" w:rsidRDefault="00432126" w:rsidP="00432126">
      <w:pPr>
        <w:autoSpaceDE w:val="0"/>
        <w:autoSpaceDN w:val="0"/>
        <w:adjustRightInd w:val="0"/>
        <w:spacing w:before="60" w:after="60"/>
        <w:jc w:val="both"/>
        <w:rPr>
          <w:rFonts w:ascii="Futura Std Medium" w:hAnsi="Futura Std Medium"/>
          <w:bCs/>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1"/>
      </w:tblGrid>
      <w:tr w:rsidR="00432126" w:rsidRPr="00416867" w:rsidTr="00622908">
        <w:tc>
          <w:tcPr>
            <w:tcW w:w="15591" w:type="dxa"/>
            <w:shd w:val="clear" w:color="auto" w:fill="auto"/>
          </w:tcPr>
          <w:p w:rsidR="00432126" w:rsidRPr="009D7FCA" w:rsidRDefault="00432126" w:rsidP="00622908">
            <w:pPr>
              <w:autoSpaceDE w:val="0"/>
              <w:autoSpaceDN w:val="0"/>
              <w:adjustRightInd w:val="0"/>
              <w:spacing w:before="100" w:after="100"/>
              <w:rPr>
                <w:rFonts w:ascii="Futura Std Medium" w:hAnsi="Futura Std Medium"/>
                <w:b/>
                <w:bCs/>
                <w:lang w:val="es-CO"/>
              </w:rPr>
            </w:pPr>
            <w:r w:rsidRPr="009D7FCA">
              <w:rPr>
                <w:rFonts w:ascii="Futura Std Medium" w:hAnsi="Futura Std Medium"/>
                <w:b/>
                <w:bCs/>
                <w:lang w:val="es-CO"/>
              </w:rPr>
              <w:t>Pregunta 11</w:t>
            </w:r>
          </w:p>
        </w:tc>
      </w:tr>
      <w:tr w:rsidR="00432126" w:rsidRPr="00416867" w:rsidTr="00622908">
        <w:trPr>
          <w:trHeight w:val="436"/>
        </w:trPr>
        <w:tc>
          <w:tcPr>
            <w:tcW w:w="15591" w:type="dxa"/>
            <w:shd w:val="clear" w:color="auto" w:fill="auto"/>
            <w:vAlign w:val="bottom"/>
          </w:tcPr>
          <w:p w:rsidR="00432126" w:rsidRPr="009D7FCA" w:rsidRDefault="00432126" w:rsidP="00622908">
            <w:pPr>
              <w:pStyle w:val="IASBTableTNR"/>
              <w:rPr>
                <w:rFonts w:ascii="Futura Std Medium" w:hAnsi="Futura Std Medium"/>
                <w:sz w:val="20"/>
                <w:lang w:val="es-CO"/>
              </w:rPr>
            </w:pPr>
            <w:r w:rsidRPr="009D7FCA">
              <w:rPr>
                <w:rFonts w:ascii="Futura Std Medium" w:hAnsi="Futura Std Medium"/>
                <w:sz w:val="20"/>
                <w:lang w:val="es-CO"/>
              </w:rPr>
              <w:lastRenderedPageBreak/>
              <w:t>La opinión preliminar del Consejo es que una entidad aplicará el enfoque preferido del Consejo a los términos contractuales de un instrumento financiero de forma congruente con el alcance existente de la NIC 32. ¿Está usted de acuerdo? ¿Por qué si o por qué no?</w:t>
            </w:r>
          </w:p>
        </w:tc>
      </w:tr>
    </w:tbl>
    <w:p w:rsidR="00432126" w:rsidRPr="009D7FCA" w:rsidRDefault="00432126" w:rsidP="00432126">
      <w:pPr>
        <w:spacing w:before="60" w:after="60"/>
        <w:rPr>
          <w:rFonts w:ascii="Futura Std Medium" w:hAnsi="Futura Std Medium"/>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207"/>
      </w:tblGrid>
      <w:tr w:rsidR="00887324" w:rsidRPr="00416867" w:rsidTr="0012183A">
        <w:tc>
          <w:tcPr>
            <w:tcW w:w="1384" w:type="dxa"/>
            <w:tcBorders>
              <w:top w:val="single" w:sz="4" w:space="0" w:color="auto"/>
              <w:left w:val="single" w:sz="4" w:space="0" w:color="auto"/>
              <w:bottom w:val="single" w:sz="4" w:space="0" w:color="auto"/>
              <w:right w:val="single" w:sz="4" w:space="0" w:color="auto"/>
            </w:tcBorders>
            <w:shd w:val="clear" w:color="auto" w:fill="auto"/>
          </w:tcPr>
          <w:p w:rsidR="00887324" w:rsidRPr="009D7FCA" w:rsidRDefault="00887324" w:rsidP="00887324">
            <w:pPr>
              <w:pStyle w:val="IASBTableTNR"/>
              <w:spacing w:before="60" w:after="60"/>
              <w:rPr>
                <w:rFonts w:ascii="Futura Std Medium" w:hAnsi="Futura Std Medium"/>
                <w:sz w:val="20"/>
                <w:lang w:val="es-CO"/>
              </w:rPr>
            </w:pPr>
            <w:r w:rsidRPr="009D7FCA">
              <w:rPr>
                <w:rFonts w:ascii="Futura Std Medium" w:hAnsi="Futura Std Medium"/>
                <w:b/>
                <w:sz w:val="20"/>
                <w:lang w:val="es-CO"/>
              </w:rPr>
              <w:t>Posición País</w:t>
            </w:r>
          </w:p>
        </w:tc>
        <w:tc>
          <w:tcPr>
            <w:tcW w:w="14207" w:type="dxa"/>
            <w:tcBorders>
              <w:top w:val="single" w:sz="4" w:space="0" w:color="auto"/>
              <w:left w:val="single" w:sz="4" w:space="0" w:color="auto"/>
              <w:bottom w:val="single" w:sz="4" w:space="0" w:color="auto"/>
              <w:right w:val="single" w:sz="4" w:space="0" w:color="auto"/>
            </w:tcBorders>
            <w:shd w:val="clear" w:color="auto" w:fill="auto"/>
            <w:vAlign w:val="bottom"/>
          </w:tcPr>
          <w:p w:rsidR="00887324" w:rsidRDefault="00887324" w:rsidP="00887324">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Si, de acuerdo, ya que el objetivo del proyecto de discusión aborda los instrumentos financieros dentro del alcance de la NIC 32, y todas las definiciones de instrumentos financieros en las Normas NIIF, de activos financieros, pasivos financieros e instrumentos de patrimonio, se refieren a derechos u obligaciones que surgen de contratos. El enfoque preferido del Consejo, con base en el proyecto de discusión debe ser aplicado de acuerdo con los derechos y obligaciones establecidos mediante lo términos contractuales de los instrumentos. De esta manera, el enfoque del Consejo se basa no solo en si el instrumento financiero requiere que la entidad transfiera recursos económicos, sino también en cómo se determina el importe de la obligación, considerando lo establecido contractualmente.</w:t>
            </w:r>
          </w:p>
          <w:p w:rsidR="00887324" w:rsidRDefault="00887324" w:rsidP="00887324">
            <w:pPr>
              <w:pStyle w:val="Default"/>
              <w:rPr>
                <w:rFonts w:ascii="Futura Std Medium" w:eastAsia="Times New Roman" w:hAnsi="Futura Std Medium" w:cs="Arial"/>
                <w:color w:val="000000" w:themeColor="text1"/>
                <w:sz w:val="20"/>
                <w:szCs w:val="20"/>
                <w:lang w:val="es-CO"/>
              </w:rPr>
            </w:pPr>
            <w:r>
              <w:rPr>
                <w:rFonts w:ascii="Futura Std Medium" w:eastAsia="Times New Roman" w:hAnsi="Futura Std Medium" w:cs="Arial"/>
                <w:color w:val="000000" w:themeColor="text1"/>
                <w:sz w:val="20"/>
                <w:szCs w:val="20"/>
                <w:lang w:val="es-CO"/>
              </w:rPr>
              <w:t>Adicionalmente, lo términos contractuales del instrumento permitan determinar la clasificación del mismo y los pagos que surjan como consecuencia de regulación local u otra autoridad deberán ser analizadas de acuerdo a la normatividad que les corresponda siendo esto congruente con lo definido actualmente bajo NIC 32.</w:t>
            </w:r>
          </w:p>
        </w:tc>
      </w:tr>
    </w:tbl>
    <w:p w:rsidR="001C5160" w:rsidRPr="009D7FCA" w:rsidRDefault="001C5160">
      <w:pPr>
        <w:rPr>
          <w:rFonts w:ascii="Futura Std Medium" w:hAnsi="Futura Std Medium"/>
          <w:lang w:val="es-CO"/>
        </w:rPr>
      </w:pPr>
    </w:p>
    <w:sectPr w:rsidR="001C5160" w:rsidRPr="009D7FCA" w:rsidSect="00622908">
      <w:pgSz w:w="16840" w:h="11907" w:orient="landscape" w:code="9"/>
      <w:pgMar w:top="964" w:right="567" w:bottom="964" w:left="567" w:header="284" w:footer="82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Futura Std Medium">
    <w:altName w:val="Vrinda"/>
    <w:panose1 w:val="020B0502020204020303"/>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4DD6"/>
    <w:multiLevelType w:val="hybridMultilevel"/>
    <w:tmpl w:val="A9FE20CA"/>
    <w:lvl w:ilvl="0" w:tplc="18F8629E">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B2227D"/>
    <w:multiLevelType w:val="hybridMultilevel"/>
    <w:tmpl w:val="B970A06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FD33C91"/>
    <w:multiLevelType w:val="hybridMultilevel"/>
    <w:tmpl w:val="B6F67B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E83CD1"/>
    <w:multiLevelType w:val="hybridMultilevel"/>
    <w:tmpl w:val="C33EB59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3014C30"/>
    <w:multiLevelType w:val="hybridMultilevel"/>
    <w:tmpl w:val="61D6A6A4"/>
    <w:lvl w:ilvl="0" w:tplc="2AE63486">
      <w:start w:val="1"/>
      <w:numFmt w:val="lowerLetter"/>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62413C7"/>
    <w:multiLevelType w:val="hybridMultilevel"/>
    <w:tmpl w:val="6AD04C6E"/>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725283C"/>
    <w:multiLevelType w:val="hybridMultilevel"/>
    <w:tmpl w:val="98C64E6E"/>
    <w:lvl w:ilvl="0" w:tplc="08D649B8">
      <w:start w:val="1"/>
      <w:numFmt w:val="decimal"/>
      <w:lvlText w:val="%1."/>
      <w:lvlJc w:val="left"/>
      <w:pPr>
        <w:ind w:left="360" w:hanging="360"/>
      </w:pPr>
      <w:rPr>
        <w:rFonts w:hint="default"/>
        <w:i/>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84668F2"/>
    <w:multiLevelType w:val="hybridMultilevel"/>
    <w:tmpl w:val="26D066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9EE6426"/>
    <w:multiLevelType w:val="hybridMultilevel"/>
    <w:tmpl w:val="8A929C58"/>
    <w:lvl w:ilvl="0" w:tplc="3042B9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C646A3"/>
    <w:multiLevelType w:val="hybridMultilevel"/>
    <w:tmpl w:val="499EBF02"/>
    <w:lvl w:ilvl="0" w:tplc="20361A1E">
      <w:start w:val="1"/>
      <w:numFmt w:val="lowerLetter"/>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992282"/>
    <w:multiLevelType w:val="hybridMultilevel"/>
    <w:tmpl w:val="6AD04C6E"/>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2A872C39"/>
    <w:multiLevelType w:val="hybridMultilevel"/>
    <w:tmpl w:val="0A64DEB4"/>
    <w:lvl w:ilvl="0" w:tplc="3BDA76C2">
      <w:start w:val="1"/>
      <w:numFmt w:val="lowerLetter"/>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2ACD26E3"/>
    <w:multiLevelType w:val="hybridMultilevel"/>
    <w:tmpl w:val="B6F67B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E2A3181"/>
    <w:multiLevelType w:val="hybridMultilevel"/>
    <w:tmpl w:val="9818765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96761B"/>
    <w:multiLevelType w:val="hybridMultilevel"/>
    <w:tmpl w:val="22DEE9CC"/>
    <w:lvl w:ilvl="0" w:tplc="B8BC7A42">
      <w:start w:val="1"/>
      <w:numFmt w:val="lowerLetter"/>
      <w:lvlText w:val="%1)"/>
      <w:lvlJc w:val="left"/>
      <w:pPr>
        <w:ind w:left="360" w:hanging="360"/>
      </w:pPr>
      <w:rPr>
        <w:rFonts w:hint="default"/>
        <w:i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3DB925F8"/>
    <w:multiLevelType w:val="hybridMultilevel"/>
    <w:tmpl w:val="9F9ED736"/>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46526F97"/>
    <w:multiLevelType w:val="hybridMultilevel"/>
    <w:tmpl w:val="98C64E6E"/>
    <w:lvl w:ilvl="0" w:tplc="08D649B8">
      <w:start w:val="1"/>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DB4FFA"/>
    <w:multiLevelType w:val="hybridMultilevel"/>
    <w:tmpl w:val="61D6A6A4"/>
    <w:lvl w:ilvl="0" w:tplc="2AE63486">
      <w:start w:val="1"/>
      <w:numFmt w:val="lowerLetter"/>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A931C08"/>
    <w:multiLevelType w:val="hybridMultilevel"/>
    <w:tmpl w:val="109A6988"/>
    <w:lvl w:ilvl="0" w:tplc="8FD0948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58CB3277"/>
    <w:multiLevelType w:val="hybridMultilevel"/>
    <w:tmpl w:val="03008B3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2D60349"/>
    <w:multiLevelType w:val="hybridMultilevel"/>
    <w:tmpl w:val="CE1E08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4F97B8C"/>
    <w:multiLevelType w:val="hybridMultilevel"/>
    <w:tmpl w:val="773CA8DA"/>
    <w:lvl w:ilvl="0" w:tplc="F51AABDA">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69AE08AF"/>
    <w:multiLevelType w:val="hybridMultilevel"/>
    <w:tmpl w:val="BC885F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2D22E9D"/>
    <w:multiLevelType w:val="hybridMultilevel"/>
    <w:tmpl w:val="A08A3662"/>
    <w:lvl w:ilvl="0" w:tplc="75E682F6">
      <w:start w:val="1"/>
      <w:numFmt w:val="lowerLetter"/>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681138B"/>
    <w:multiLevelType w:val="hybridMultilevel"/>
    <w:tmpl w:val="22DEE9CC"/>
    <w:lvl w:ilvl="0" w:tplc="B8BC7A42">
      <w:start w:val="1"/>
      <w:numFmt w:val="lowerLetter"/>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3"/>
  </w:num>
  <w:num w:numId="2">
    <w:abstractNumId w:val="11"/>
  </w:num>
  <w:num w:numId="3">
    <w:abstractNumId w:val="20"/>
  </w:num>
  <w:num w:numId="4">
    <w:abstractNumId w:val="0"/>
  </w:num>
  <w:num w:numId="5">
    <w:abstractNumId w:val="5"/>
  </w:num>
  <w:num w:numId="6">
    <w:abstractNumId w:val="9"/>
  </w:num>
  <w:num w:numId="7">
    <w:abstractNumId w:val="19"/>
  </w:num>
  <w:num w:numId="8">
    <w:abstractNumId w:val="4"/>
  </w:num>
  <w:num w:numId="9">
    <w:abstractNumId w:val="2"/>
  </w:num>
  <w:num w:numId="10">
    <w:abstractNumId w:val="16"/>
  </w:num>
  <w:num w:numId="11">
    <w:abstractNumId w:val="24"/>
  </w:num>
  <w:num w:numId="12">
    <w:abstractNumId w:val="10"/>
  </w:num>
  <w:num w:numId="13">
    <w:abstractNumId w:val="17"/>
  </w:num>
  <w:num w:numId="14">
    <w:abstractNumId w:val="12"/>
  </w:num>
  <w:num w:numId="15">
    <w:abstractNumId w:val="6"/>
  </w:num>
  <w:num w:numId="16">
    <w:abstractNumId w:val="14"/>
  </w:num>
  <w:num w:numId="17">
    <w:abstractNumId w:val="3"/>
  </w:num>
  <w:num w:numId="18">
    <w:abstractNumId w:val="1"/>
  </w:num>
  <w:num w:numId="19">
    <w:abstractNumId w:val="22"/>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126"/>
    <w:rsid w:val="00010AE6"/>
    <w:rsid w:val="00012850"/>
    <w:rsid w:val="000148F4"/>
    <w:rsid w:val="00015132"/>
    <w:rsid w:val="00016C56"/>
    <w:rsid w:val="00017D08"/>
    <w:rsid w:val="00022635"/>
    <w:rsid w:val="00023DE4"/>
    <w:rsid w:val="00024817"/>
    <w:rsid w:val="00024C24"/>
    <w:rsid w:val="000264C4"/>
    <w:rsid w:val="00026D75"/>
    <w:rsid w:val="00030945"/>
    <w:rsid w:val="00030AD2"/>
    <w:rsid w:val="00033B70"/>
    <w:rsid w:val="00034908"/>
    <w:rsid w:val="00036DBD"/>
    <w:rsid w:val="000424AC"/>
    <w:rsid w:val="0005126A"/>
    <w:rsid w:val="00053854"/>
    <w:rsid w:val="00054FD5"/>
    <w:rsid w:val="0005595E"/>
    <w:rsid w:val="00056013"/>
    <w:rsid w:val="000574E6"/>
    <w:rsid w:val="000616C5"/>
    <w:rsid w:val="00061741"/>
    <w:rsid w:val="00061A72"/>
    <w:rsid w:val="000634FC"/>
    <w:rsid w:val="00064A9B"/>
    <w:rsid w:val="000674DE"/>
    <w:rsid w:val="000674EF"/>
    <w:rsid w:val="00067B73"/>
    <w:rsid w:val="0007246D"/>
    <w:rsid w:val="00072CBC"/>
    <w:rsid w:val="0008110F"/>
    <w:rsid w:val="00081655"/>
    <w:rsid w:val="000817B5"/>
    <w:rsid w:val="00083835"/>
    <w:rsid w:val="00087982"/>
    <w:rsid w:val="000904E6"/>
    <w:rsid w:val="000957C7"/>
    <w:rsid w:val="00097393"/>
    <w:rsid w:val="000A005D"/>
    <w:rsid w:val="000A2C24"/>
    <w:rsid w:val="000A49C0"/>
    <w:rsid w:val="000A59EC"/>
    <w:rsid w:val="000A5E99"/>
    <w:rsid w:val="000B2078"/>
    <w:rsid w:val="000B306E"/>
    <w:rsid w:val="000B4CC6"/>
    <w:rsid w:val="000B6675"/>
    <w:rsid w:val="000B7E88"/>
    <w:rsid w:val="000C0235"/>
    <w:rsid w:val="000C134B"/>
    <w:rsid w:val="000C3A2D"/>
    <w:rsid w:val="000C47A9"/>
    <w:rsid w:val="000C59D1"/>
    <w:rsid w:val="000D0470"/>
    <w:rsid w:val="000D083A"/>
    <w:rsid w:val="000D5B6F"/>
    <w:rsid w:val="000E0841"/>
    <w:rsid w:val="000E0FA6"/>
    <w:rsid w:val="000E2D96"/>
    <w:rsid w:val="000E3081"/>
    <w:rsid w:val="000E45B6"/>
    <w:rsid w:val="000E61C3"/>
    <w:rsid w:val="000E6D3C"/>
    <w:rsid w:val="000F051A"/>
    <w:rsid w:val="000F17A8"/>
    <w:rsid w:val="000F2A07"/>
    <w:rsid w:val="000F4C88"/>
    <w:rsid w:val="000F5D8A"/>
    <w:rsid w:val="000F74CF"/>
    <w:rsid w:val="00102B9E"/>
    <w:rsid w:val="00103AB1"/>
    <w:rsid w:val="00105A29"/>
    <w:rsid w:val="001061EB"/>
    <w:rsid w:val="001072A7"/>
    <w:rsid w:val="00110900"/>
    <w:rsid w:val="00110987"/>
    <w:rsid w:val="001121EE"/>
    <w:rsid w:val="001129F8"/>
    <w:rsid w:val="00114E84"/>
    <w:rsid w:val="00115BC0"/>
    <w:rsid w:val="00120243"/>
    <w:rsid w:val="0012183A"/>
    <w:rsid w:val="00121B96"/>
    <w:rsid w:val="0012509D"/>
    <w:rsid w:val="001260FA"/>
    <w:rsid w:val="00130D49"/>
    <w:rsid w:val="0013177E"/>
    <w:rsid w:val="001347C0"/>
    <w:rsid w:val="00135155"/>
    <w:rsid w:val="00135804"/>
    <w:rsid w:val="001369E8"/>
    <w:rsid w:val="001406C3"/>
    <w:rsid w:val="0014316E"/>
    <w:rsid w:val="00145774"/>
    <w:rsid w:val="001463C6"/>
    <w:rsid w:val="00146C74"/>
    <w:rsid w:val="001501BC"/>
    <w:rsid w:val="00150929"/>
    <w:rsid w:val="00152BD2"/>
    <w:rsid w:val="00153DB0"/>
    <w:rsid w:val="00154876"/>
    <w:rsid w:val="00154F7B"/>
    <w:rsid w:val="0016038C"/>
    <w:rsid w:val="00161DB6"/>
    <w:rsid w:val="00163F98"/>
    <w:rsid w:val="0016559E"/>
    <w:rsid w:val="001669F8"/>
    <w:rsid w:val="00171E8F"/>
    <w:rsid w:val="001736F9"/>
    <w:rsid w:val="00173E2D"/>
    <w:rsid w:val="00174549"/>
    <w:rsid w:val="00175E9F"/>
    <w:rsid w:val="001874A1"/>
    <w:rsid w:val="001956F6"/>
    <w:rsid w:val="001971A7"/>
    <w:rsid w:val="001A2682"/>
    <w:rsid w:val="001A3209"/>
    <w:rsid w:val="001A3B8E"/>
    <w:rsid w:val="001A4273"/>
    <w:rsid w:val="001A5075"/>
    <w:rsid w:val="001A687A"/>
    <w:rsid w:val="001A772E"/>
    <w:rsid w:val="001A7B04"/>
    <w:rsid w:val="001A7B8E"/>
    <w:rsid w:val="001B33DD"/>
    <w:rsid w:val="001B469A"/>
    <w:rsid w:val="001B5785"/>
    <w:rsid w:val="001B5B76"/>
    <w:rsid w:val="001B6347"/>
    <w:rsid w:val="001B71C5"/>
    <w:rsid w:val="001C1E38"/>
    <w:rsid w:val="001C2D36"/>
    <w:rsid w:val="001C5160"/>
    <w:rsid w:val="001C52F2"/>
    <w:rsid w:val="001C53B6"/>
    <w:rsid w:val="001C5941"/>
    <w:rsid w:val="001C631F"/>
    <w:rsid w:val="001C752F"/>
    <w:rsid w:val="001D09B5"/>
    <w:rsid w:val="001D12C5"/>
    <w:rsid w:val="001D16B5"/>
    <w:rsid w:val="001D3921"/>
    <w:rsid w:val="001D6F4C"/>
    <w:rsid w:val="001E0004"/>
    <w:rsid w:val="001E52D2"/>
    <w:rsid w:val="001E53E5"/>
    <w:rsid w:val="001E6380"/>
    <w:rsid w:val="001F0628"/>
    <w:rsid w:val="001F09D7"/>
    <w:rsid w:val="001F0B05"/>
    <w:rsid w:val="001F164E"/>
    <w:rsid w:val="001F28BD"/>
    <w:rsid w:val="001F5190"/>
    <w:rsid w:val="001F549D"/>
    <w:rsid w:val="001F632C"/>
    <w:rsid w:val="001F69FD"/>
    <w:rsid w:val="00201B8B"/>
    <w:rsid w:val="002022BE"/>
    <w:rsid w:val="00202A11"/>
    <w:rsid w:val="002032E1"/>
    <w:rsid w:val="00207283"/>
    <w:rsid w:val="002131E6"/>
    <w:rsid w:val="002218A6"/>
    <w:rsid w:val="00221B14"/>
    <w:rsid w:val="00221D14"/>
    <w:rsid w:val="00222F09"/>
    <w:rsid w:val="0022399F"/>
    <w:rsid w:val="002246EA"/>
    <w:rsid w:val="00226D18"/>
    <w:rsid w:val="00227595"/>
    <w:rsid w:val="00227861"/>
    <w:rsid w:val="00231B29"/>
    <w:rsid w:val="002327B7"/>
    <w:rsid w:val="00232F08"/>
    <w:rsid w:val="002334FA"/>
    <w:rsid w:val="00233BC7"/>
    <w:rsid w:val="002343B3"/>
    <w:rsid w:val="00235EA9"/>
    <w:rsid w:val="0024503C"/>
    <w:rsid w:val="00245EB7"/>
    <w:rsid w:val="00251362"/>
    <w:rsid w:val="002546FF"/>
    <w:rsid w:val="00262295"/>
    <w:rsid w:val="00262C63"/>
    <w:rsid w:val="00263C55"/>
    <w:rsid w:val="00263CA6"/>
    <w:rsid w:val="00263DCB"/>
    <w:rsid w:val="00263FAA"/>
    <w:rsid w:val="00264424"/>
    <w:rsid w:val="00266061"/>
    <w:rsid w:val="00266251"/>
    <w:rsid w:val="00266A78"/>
    <w:rsid w:val="00266F65"/>
    <w:rsid w:val="00267A1D"/>
    <w:rsid w:val="002700E2"/>
    <w:rsid w:val="00273A64"/>
    <w:rsid w:val="00274CDF"/>
    <w:rsid w:val="002764EC"/>
    <w:rsid w:val="00276B09"/>
    <w:rsid w:val="00276B74"/>
    <w:rsid w:val="0028042A"/>
    <w:rsid w:val="00280F88"/>
    <w:rsid w:val="002821EE"/>
    <w:rsid w:val="002866E3"/>
    <w:rsid w:val="0029030F"/>
    <w:rsid w:val="00291607"/>
    <w:rsid w:val="0029288E"/>
    <w:rsid w:val="00292BC1"/>
    <w:rsid w:val="00293CE0"/>
    <w:rsid w:val="00293E16"/>
    <w:rsid w:val="002976FC"/>
    <w:rsid w:val="0029771F"/>
    <w:rsid w:val="002A274D"/>
    <w:rsid w:val="002A3087"/>
    <w:rsid w:val="002A3B56"/>
    <w:rsid w:val="002A60DE"/>
    <w:rsid w:val="002A60F7"/>
    <w:rsid w:val="002A7120"/>
    <w:rsid w:val="002A723F"/>
    <w:rsid w:val="002A7686"/>
    <w:rsid w:val="002B09B8"/>
    <w:rsid w:val="002B3628"/>
    <w:rsid w:val="002B4BC5"/>
    <w:rsid w:val="002B7C8B"/>
    <w:rsid w:val="002C0D16"/>
    <w:rsid w:val="002C1D8B"/>
    <w:rsid w:val="002C3227"/>
    <w:rsid w:val="002C41AC"/>
    <w:rsid w:val="002C43E5"/>
    <w:rsid w:val="002C6009"/>
    <w:rsid w:val="002C69F3"/>
    <w:rsid w:val="002C7D1D"/>
    <w:rsid w:val="002D3AE7"/>
    <w:rsid w:val="002E1438"/>
    <w:rsid w:val="002E24F5"/>
    <w:rsid w:val="002E41EC"/>
    <w:rsid w:val="002E6898"/>
    <w:rsid w:val="002E6E55"/>
    <w:rsid w:val="002F0A94"/>
    <w:rsid w:val="002F3CCF"/>
    <w:rsid w:val="002F4271"/>
    <w:rsid w:val="002F6922"/>
    <w:rsid w:val="003013D0"/>
    <w:rsid w:val="00302C83"/>
    <w:rsid w:val="003046EB"/>
    <w:rsid w:val="0031014B"/>
    <w:rsid w:val="00310E34"/>
    <w:rsid w:val="0031191E"/>
    <w:rsid w:val="00314791"/>
    <w:rsid w:val="003159C2"/>
    <w:rsid w:val="00316541"/>
    <w:rsid w:val="003222D0"/>
    <w:rsid w:val="003233FC"/>
    <w:rsid w:val="003300D6"/>
    <w:rsid w:val="003304F9"/>
    <w:rsid w:val="00330555"/>
    <w:rsid w:val="00330FFC"/>
    <w:rsid w:val="003315B3"/>
    <w:rsid w:val="00333C27"/>
    <w:rsid w:val="00340275"/>
    <w:rsid w:val="00340B88"/>
    <w:rsid w:val="0034136D"/>
    <w:rsid w:val="00341E2B"/>
    <w:rsid w:val="00342F07"/>
    <w:rsid w:val="00344B8E"/>
    <w:rsid w:val="00344FD3"/>
    <w:rsid w:val="003457F9"/>
    <w:rsid w:val="00346F06"/>
    <w:rsid w:val="003470AB"/>
    <w:rsid w:val="00353DDF"/>
    <w:rsid w:val="003565A9"/>
    <w:rsid w:val="003606E8"/>
    <w:rsid w:val="0036078B"/>
    <w:rsid w:val="00361BC9"/>
    <w:rsid w:val="00363420"/>
    <w:rsid w:val="00370E3B"/>
    <w:rsid w:val="003737A2"/>
    <w:rsid w:val="00373DF7"/>
    <w:rsid w:val="00376064"/>
    <w:rsid w:val="00377289"/>
    <w:rsid w:val="00377523"/>
    <w:rsid w:val="00377E08"/>
    <w:rsid w:val="00377EE4"/>
    <w:rsid w:val="003802D8"/>
    <w:rsid w:val="00385629"/>
    <w:rsid w:val="0038704B"/>
    <w:rsid w:val="00391C09"/>
    <w:rsid w:val="00392387"/>
    <w:rsid w:val="003925B5"/>
    <w:rsid w:val="003A5E52"/>
    <w:rsid w:val="003A62F2"/>
    <w:rsid w:val="003A77C0"/>
    <w:rsid w:val="003B0AAA"/>
    <w:rsid w:val="003B6B8A"/>
    <w:rsid w:val="003C0F9F"/>
    <w:rsid w:val="003C5486"/>
    <w:rsid w:val="003C781C"/>
    <w:rsid w:val="003D39A7"/>
    <w:rsid w:val="003D5754"/>
    <w:rsid w:val="003D5A4C"/>
    <w:rsid w:val="003D6F4B"/>
    <w:rsid w:val="003E786C"/>
    <w:rsid w:val="003F4BD8"/>
    <w:rsid w:val="003F61B2"/>
    <w:rsid w:val="003F763C"/>
    <w:rsid w:val="00401DD6"/>
    <w:rsid w:val="00402AC1"/>
    <w:rsid w:val="004042DA"/>
    <w:rsid w:val="00405851"/>
    <w:rsid w:val="00410A08"/>
    <w:rsid w:val="00411CA7"/>
    <w:rsid w:val="00413303"/>
    <w:rsid w:val="0041647C"/>
    <w:rsid w:val="00416867"/>
    <w:rsid w:val="00417861"/>
    <w:rsid w:val="00420F8C"/>
    <w:rsid w:val="00424A1B"/>
    <w:rsid w:val="004251D6"/>
    <w:rsid w:val="00425414"/>
    <w:rsid w:val="0042575D"/>
    <w:rsid w:val="00425953"/>
    <w:rsid w:val="0042661A"/>
    <w:rsid w:val="00430C56"/>
    <w:rsid w:val="00432126"/>
    <w:rsid w:val="00434F8E"/>
    <w:rsid w:val="00436886"/>
    <w:rsid w:val="00436C7F"/>
    <w:rsid w:val="0044235B"/>
    <w:rsid w:val="00443A1B"/>
    <w:rsid w:val="0044725B"/>
    <w:rsid w:val="004556A8"/>
    <w:rsid w:val="0045698C"/>
    <w:rsid w:val="004614E2"/>
    <w:rsid w:val="0046195C"/>
    <w:rsid w:val="0046212F"/>
    <w:rsid w:val="00464562"/>
    <w:rsid w:val="00466CB8"/>
    <w:rsid w:val="00466EFB"/>
    <w:rsid w:val="004676F2"/>
    <w:rsid w:val="004704E2"/>
    <w:rsid w:val="0047242E"/>
    <w:rsid w:val="0047244C"/>
    <w:rsid w:val="00483923"/>
    <w:rsid w:val="004842D0"/>
    <w:rsid w:val="00490627"/>
    <w:rsid w:val="00490F0D"/>
    <w:rsid w:val="00491BA8"/>
    <w:rsid w:val="004928B1"/>
    <w:rsid w:val="00492986"/>
    <w:rsid w:val="0049317C"/>
    <w:rsid w:val="00494A96"/>
    <w:rsid w:val="0049632D"/>
    <w:rsid w:val="00497D14"/>
    <w:rsid w:val="004A103C"/>
    <w:rsid w:val="004A2E5A"/>
    <w:rsid w:val="004A3A1D"/>
    <w:rsid w:val="004A4B11"/>
    <w:rsid w:val="004A55F7"/>
    <w:rsid w:val="004A5E84"/>
    <w:rsid w:val="004A6BBB"/>
    <w:rsid w:val="004A738C"/>
    <w:rsid w:val="004B3E7B"/>
    <w:rsid w:val="004B4077"/>
    <w:rsid w:val="004B5460"/>
    <w:rsid w:val="004C163B"/>
    <w:rsid w:val="004C1ED5"/>
    <w:rsid w:val="004C35D9"/>
    <w:rsid w:val="004C6E6C"/>
    <w:rsid w:val="004D025E"/>
    <w:rsid w:val="004D0C5B"/>
    <w:rsid w:val="004D33A6"/>
    <w:rsid w:val="004D37F7"/>
    <w:rsid w:val="004D6E2E"/>
    <w:rsid w:val="004D7EBE"/>
    <w:rsid w:val="004E3DC1"/>
    <w:rsid w:val="004E6292"/>
    <w:rsid w:val="004E7088"/>
    <w:rsid w:val="004E7E4A"/>
    <w:rsid w:val="004F01C4"/>
    <w:rsid w:val="004F0C90"/>
    <w:rsid w:val="004F32DE"/>
    <w:rsid w:val="004F3823"/>
    <w:rsid w:val="004F3C5A"/>
    <w:rsid w:val="004F4EE1"/>
    <w:rsid w:val="004F6473"/>
    <w:rsid w:val="004F6A17"/>
    <w:rsid w:val="004F7B4E"/>
    <w:rsid w:val="00502E04"/>
    <w:rsid w:val="0050470A"/>
    <w:rsid w:val="005067AE"/>
    <w:rsid w:val="00507A3E"/>
    <w:rsid w:val="00507F36"/>
    <w:rsid w:val="005129E3"/>
    <w:rsid w:val="0051418E"/>
    <w:rsid w:val="00522063"/>
    <w:rsid w:val="00525B30"/>
    <w:rsid w:val="00526A64"/>
    <w:rsid w:val="00527C0D"/>
    <w:rsid w:val="00533DA5"/>
    <w:rsid w:val="00534A75"/>
    <w:rsid w:val="0053705E"/>
    <w:rsid w:val="0054586D"/>
    <w:rsid w:val="005467F4"/>
    <w:rsid w:val="00547319"/>
    <w:rsid w:val="00547F2B"/>
    <w:rsid w:val="00551AD9"/>
    <w:rsid w:val="00551B7A"/>
    <w:rsid w:val="005541FE"/>
    <w:rsid w:val="005553A0"/>
    <w:rsid w:val="0055613B"/>
    <w:rsid w:val="00560AC6"/>
    <w:rsid w:val="00563170"/>
    <w:rsid w:val="005634F3"/>
    <w:rsid w:val="005662E5"/>
    <w:rsid w:val="0057020D"/>
    <w:rsid w:val="00572108"/>
    <w:rsid w:val="005727D4"/>
    <w:rsid w:val="00573406"/>
    <w:rsid w:val="0057494A"/>
    <w:rsid w:val="00575068"/>
    <w:rsid w:val="005771EA"/>
    <w:rsid w:val="00577566"/>
    <w:rsid w:val="0058131D"/>
    <w:rsid w:val="0058279E"/>
    <w:rsid w:val="00582A2A"/>
    <w:rsid w:val="005846A5"/>
    <w:rsid w:val="00585FF1"/>
    <w:rsid w:val="00587DB2"/>
    <w:rsid w:val="005906A0"/>
    <w:rsid w:val="00591356"/>
    <w:rsid w:val="005917DF"/>
    <w:rsid w:val="00591B6B"/>
    <w:rsid w:val="00591BCF"/>
    <w:rsid w:val="00591FDD"/>
    <w:rsid w:val="0059281C"/>
    <w:rsid w:val="005935AB"/>
    <w:rsid w:val="005944A9"/>
    <w:rsid w:val="0059657D"/>
    <w:rsid w:val="005A4352"/>
    <w:rsid w:val="005A6078"/>
    <w:rsid w:val="005A69B4"/>
    <w:rsid w:val="005A6CFC"/>
    <w:rsid w:val="005A6E79"/>
    <w:rsid w:val="005B2E0C"/>
    <w:rsid w:val="005B4D88"/>
    <w:rsid w:val="005B5CEF"/>
    <w:rsid w:val="005C1BB7"/>
    <w:rsid w:val="005C4845"/>
    <w:rsid w:val="005C4B13"/>
    <w:rsid w:val="005C50FA"/>
    <w:rsid w:val="005C51C2"/>
    <w:rsid w:val="005C5CB1"/>
    <w:rsid w:val="005D22C3"/>
    <w:rsid w:val="005D33CC"/>
    <w:rsid w:val="005D3C68"/>
    <w:rsid w:val="005D4F42"/>
    <w:rsid w:val="005D75E7"/>
    <w:rsid w:val="005D7E9D"/>
    <w:rsid w:val="005D7F95"/>
    <w:rsid w:val="005E0E44"/>
    <w:rsid w:val="005E28CB"/>
    <w:rsid w:val="005E2BC2"/>
    <w:rsid w:val="005E2BDE"/>
    <w:rsid w:val="005E2E3F"/>
    <w:rsid w:val="005E3AA1"/>
    <w:rsid w:val="005E51FB"/>
    <w:rsid w:val="005F1546"/>
    <w:rsid w:val="005F253F"/>
    <w:rsid w:val="005F6CB4"/>
    <w:rsid w:val="00604022"/>
    <w:rsid w:val="00605C40"/>
    <w:rsid w:val="0060700F"/>
    <w:rsid w:val="00612D2A"/>
    <w:rsid w:val="006165E4"/>
    <w:rsid w:val="00617C5B"/>
    <w:rsid w:val="006201F1"/>
    <w:rsid w:val="00621408"/>
    <w:rsid w:val="00622908"/>
    <w:rsid w:val="00624AC1"/>
    <w:rsid w:val="006260FD"/>
    <w:rsid w:val="0063128D"/>
    <w:rsid w:val="006312E0"/>
    <w:rsid w:val="006315DA"/>
    <w:rsid w:val="00631771"/>
    <w:rsid w:val="006332DE"/>
    <w:rsid w:val="006430F5"/>
    <w:rsid w:val="00646ACB"/>
    <w:rsid w:val="0064772E"/>
    <w:rsid w:val="00647F86"/>
    <w:rsid w:val="00651D9F"/>
    <w:rsid w:val="006521A3"/>
    <w:rsid w:val="00652430"/>
    <w:rsid w:val="00653E99"/>
    <w:rsid w:val="00654374"/>
    <w:rsid w:val="006547F9"/>
    <w:rsid w:val="006554A0"/>
    <w:rsid w:val="00655626"/>
    <w:rsid w:val="0065788B"/>
    <w:rsid w:val="0066016D"/>
    <w:rsid w:val="00660389"/>
    <w:rsid w:val="00665ABC"/>
    <w:rsid w:val="00666E8A"/>
    <w:rsid w:val="00673CAF"/>
    <w:rsid w:val="00674162"/>
    <w:rsid w:val="00677EF1"/>
    <w:rsid w:val="00682189"/>
    <w:rsid w:val="0068284C"/>
    <w:rsid w:val="0068290F"/>
    <w:rsid w:val="00683581"/>
    <w:rsid w:val="00686AF1"/>
    <w:rsid w:val="00687187"/>
    <w:rsid w:val="006901F7"/>
    <w:rsid w:val="00692E6E"/>
    <w:rsid w:val="00693637"/>
    <w:rsid w:val="006937C7"/>
    <w:rsid w:val="00694249"/>
    <w:rsid w:val="0069625C"/>
    <w:rsid w:val="00697731"/>
    <w:rsid w:val="006A076B"/>
    <w:rsid w:val="006B4A98"/>
    <w:rsid w:val="006B4BE4"/>
    <w:rsid w:val="006B76BB"/>
    <w:rsid w:val="006C0D11"/>
    <w:rsid w:val="006C2CF1"/>
    <w:rsid w:val="006C470F"/>
    <w:rsid w:val="006C582A"/>
    <w:rsid w:val="006C5F3D"/>
    <w:rsid w:val="006C71AE"/>
    <w:rsid w:val="006C76BD"/>
    <w:rsid w:val="006D3C0B"/>
    <w:rsid w:val="006D4E99"/>
    <w:rsid w:val="006E0378"/>
    <w:rsid w:val="006E1FB4"/>
    <w:rsid w:val="006E2697"/>
    <w:rsid w:val="006E2936"/>
    <w:rsid w:val="006E6F38"/>
    <w:rsid w:val="006E6FA9"/>
    <w:rsid w:val="006E7452"/>
    <w:rsid w:val="006F0394"/>
    <w:rsid w:val="006F1508"/>
    <w:rsid w:val="006F2699"/>
    <w:rsid w:val="006F3428"/>
    <w:rsid w:val="006F7842"/>
    <w:rsid w:val="00701700"/>
    <w:rsid w:val="00702F7B"/>
    <w:rsid w:val="0070343A"/>
    <w:rsid w:val="0070364A"/>
    <w:rsid w:val="007039A5"/>
    <w:rsid w:val="00706E56"/>
    <w:rsid w:val="00707731"/>
    <w:rsid w:val="00711585"/>
    <w:rsid w:val="007118F7"/>
    <w:rsid w:val="00711DA7"/>
    <w:rsid w:val="007133EA"/>
    <w:rsid w:val="007145BE"/>
    <w:rsid w:val="007148B6"/>
    <w:rsid w:val="00716AD2"/>
    <w:rsid w:val="00716EFE"/>
    <w:rsid w:val="00723FA2"/>
    <w:rsid w:val="007245E7"/>
    <w:rsid w:val="007248ED"/>
    <w:rsid w:val="0073152B"/>
    <w:rsid w:val="007317D6"/>
    <w:rsid w:val="00732395"/>
    <w:rsid w:val="00734DA1"/>
    <w:rsid w:val="007358C1"/>
    <w:rsid w:val="00735EA2"/>
    <w:rsid w:val="0073787D"/>
    <w:rsid w:val="007414E2"/>
    <w:rsid w:val="007424CA"/>
    <w:rsid w:val="00743501"/>
    <w:rsid w:val="00744D11"/>
    <w:rsid w:val="0074762D"/>
    <w:rsid w:val="00747AB8"/>
    <w:rsid w:val="007520C1"/>
    <w:rsid w:val="00752DDD"/>
    <w:rsid w:val="00755660"/>
    <w:rsid w:val="0076154D"/>
    <w:rsid w:val="00773268"/>
    <w:rsid w:val="0077389C"/>
    <w:rsid w:val="00774E35"/>
    <w:rsid w:val="00775506"/>
    <w:rsid w:val="00775969"/>
    <w:rsid w:val="00777071"/>
    <w:rsid w:val="0077767C"/>
    <w:rsid w:val="0078004A"/>
    <w:rsid w:val="00780B72"/>
    <w:rsid w:val="00781C5B"/>
    <w:rsid w:val="00782151"/>
    <w:rsid w:val="00782314"/>
    <w:rsid w:val="0078611A"/>
    <w:rsid w:val="0079008D"/>
    <w:rsid w:val="0079576E"/>
    <w:rsid w:val="00795F59"/>
    <w:rsid w:val="007A138B"/>
    <w:rsid w:val="007A14A2"/>
    <w:rsid w:val="007A163B"/>
    <w:rsid w:val="007A237F"/>
    <w:rsid w:val="007A4471"/>
    <w:rsid w:val="007A5BCE"/>
    <w:rsid w:val="007B16F4"/>
    <w:rsid w:val="007B55FB"/>
    <w:rsid w:val="007B6FFF"/>
    <w:rsid w:val="007C0D29"/>
    <w:rsid w:val="007C6271"/>
    <w:rsid w:val="007C6E82"/>
    <w:rsid w:val="007D2A91"/>
    <w:rsid w:val="007D448A"/>
    <w:rsid w:val="007D71D0"/>
    <w:rsid w:val="007D755F"/>
    <w:rsid w:val="007E2A07"/>
    <w:rsid w:val="007E5841"/>
    <w:rsid w:val="007E7509"/>
    <w:rsid w:val="007F181E"/>
    <w:rsid w:val="007F74EB"/>
    <w:rsid w:val="007F794A"/>
    <w:rsid w:val="00802AFD"/>
    <w:rsid w:val="00805F4C"/>
    <w:rsid w:val="00806A29"/>
    <w:rsid w:val="00814B44"/>
    <w:rsid w:val="00815218"/>
    <w:rsid w:val="00817ABA"/>
    <w:rsid w:val="00830A82"/>
    <w:rsid w:val="00832F2C"/>
    <w:rsid w:val="00834013"/>
    <w:rsid w:val="00841582"/>
    <w:rsid w:val="00842308"/>
    <w:rsid w:val="00844019"/>
    <w:rsid w:val="00847579"/>
    <w:rsid w:val="00847C97"/>
    <w:rsid w:val="0085354F"/>
    <w:rsid w:val="008556AA"/>
    <w:rsid w:val="00864989"/>
    <w:rsid w:val="0086644A"/>
    <w:rsid w:val="00872D85"/>
    <w:rsid w:val="0087527A"/>
    <w:rsid w:val="00875DFB"/>
    <w:rsid w:val="008775F7"/>
    <w:rsid w:val="00884756"/>
    <w:rsid w:val="00884846"/>
    <w:rsid w:val="00887324"/>
    <w:rsid w:val="00893C30"/>
    <w:rsid w:val="00895634"/>
    <w:rsid w:val="008A0D3C"/>
    <w:rsid w:val="008A2617"/>
    <w:rsid w:val="008A2A12"/>
    <w:rsid w:val="008A2C84"/>
    <w:rsid w:val="008A36F2"/>
    <w:rsid w:val="008A3D5C"/>
    <w:rsid w:val="008A75AD"/>
    <w:rsid w:val="008B256C"/>
    <w:rsid w:val="008B792D"/>
    <w:rsid w:val="008C1F6E"/>
    <w:rsid w:val="008C1F92"/>
    <w:rsid w:val="008C251B"/>
    <w:rsid w:val="008C3B68"/>
    <w:rsid w:val="008C44B0"/>
    <w:rsid w:val="008D0E45"/>
    <w:rsid w:val="008D7D93"/>
    <w:rsid w:val="008E3193"/>
    <w:rsid w:val="008F0FBE"/>
    <w:rsid w:val="008F4BB4"/>
    <w:rsid w:val="008F5CD2"/>
    <w:rsid w:val="008F6E62"/>
    <w:rsid w:val="00901BE7"/>
    <w:rsid w:val="00902C28"/>
    <w:rsid w:val="00903B1C"/>
    <w:rsid w:val="0090498F"/>
    <w:rsid w:val="009049A5"/>
    <w:rsid w:val="009077CC"/>
    <w:rsid w:val="00910464"/>
    <w:rsid w:val="00911A76"/>
    <w:rsid w:val="00911B53"/>
    <w:rsid w:val="0091271C"/>
    <w:rsid w:val="009129B9"/>
    <w:rsid w:val="00913E6A"/>
    <w:rsid w:val="00915687"/>
    <w:rsid w:val="00916829"/>
    <w:rsid w:val="00916EF0"/>
    <w:rsid w:val="009177AD"/>
    <w:rsid w:val="00920A58"/>
    <w:rsid w:val="00920AA6"/>
    <w:rsid w:val="009228B1"/>
    <w:rsid w:val="0092518F"/>
    <w:rsid w:val="009336E4"/>
    <w:rsid w:val="009357B0"/>
    <w:rsid w:val="009358F3"/>
    <w:rsid w:val="00940021"/>
    <w:rsid w:val="00941CDD"/>
    <w:rsid w:val="0094203D"/>
    <w:rsid w:val="00943220"/>
    <w:rsid w:val="00945140"/>
    <w:rsid w:val="00946898"/>
    <w:rsid w:val="0095073D"/>
    <w:rsid w:val="0095223B"/>
    <w:rsid w:val="009523D5"/>
    <w:rsid w:val="0095262F"/>
    <w:rsid w:val="009534FE"/>
    <w:rsid w:val="00953862"/>
    <w:rsid w:val="009566BE"/>
    <w:rsid w:val="009633BF"/>
    <w:rsid w:val="00965F4C"/>
    <w:rsid w:val="00971016"/>
    <w:rsid w:val="0097214E"/>
    <w:rsid w:val="00975098"/>
    <w:rsid w:val="009766BB"/>
    <w:rsid w:val="00976B25"/>
    <w:rsid w:val="00976F9F"/>
    <w:rsid w:val="009865C9"/>
    <w:rsid w:val="00986B2E"/>
    <w:rsid w:val="00986EF9"/>
    <w:rsid w:val="009951D9"/>
    <w:rsid w:val="00997EF8"/>
    <w:rsid w:val="009A03E6"/>
    <w:rsid w:val="009A28F1"/>
    <w:rsid w:val="009A2AA6"/>
    <w:rsid w:val="009A3190"/>
    <w:rsid w:val="009A3611"/>
    <w:rsid w:val="009A4355"/>
    <w:rsid w:val="009A4CDC"/>
    <w:rsid w:val="009A5642"/>
    <w:rsid w:val="009A6AF0"/>
    <w:rsid w:val="009B3D6C"/>
    <w:rsid w:val="009B5F14"/>
    <w:rsid w:val="009C066F"/>
    <w:rsid w:val="009C1556"/>
    <w:rsid w:val="009C1614"/>
    <w:rsid w:val="009C2D16"/>
    <w:rsid w:val="009C35E8"/>
    <w:rsid w:val="009C42F4"/>
    <w:rsid w:val="009C4E56"/>
    <w:rsid w:val="009D1B70"/>
    <w:rsid w:val="009D29B6"/>
    <w:rsid w:val="009D2F08"/>
    <w:rsid w:val="009D4994"/>
    <w:rsid w:val="009D49F9"/>
    <w:rsid w:val="009D5F87"/>
    <w:rsid w:val="009D6913"/>
    <w:rsid w:val="009D7FCA"/>
    <w:rsid w:val="009E0BBE"/>
    <w:rsid w:val="009E7ADD"/>
    <w:rsid w:val="009F0542"/>
    <w:rsid w:val="00A03F94"/>
    <w:rsid w:val="00A072A3"/>
    <w:rsid w:val="00A1159E"/>
    <w:rsid w:val="00A121D7"/>
    <w:rsid w:val="00A1530D"/>
    <w:rsid w:val="00A154BE"/>
    <w:rsid w:val="00A20F30"/>
    <w:rsid w:val="00A243F6"/>
    <w:rsid w:val="00A2445A"/>
    <w:rsid w:val="00A24D45"/>
    <w:rsid w:val="00A26A95"/>
    <w:rsid w:val="00A27ADD"/>
    <w:rsid w:val="00A30624"/>
    <w:rsid w:val="00A32A78"/>
    <w:rsid w:val="00A32DB6"/>
    <w:rsid w:val="00A3447A"/>
    <w:rsid w:val="00A34636"/>
    <w:rsid w:val="00A34BB4"/>
    <w:rsid w:val="00A431EE"/>
    <w:rsid w:val="00A44A53"/>
    <w:rsid w:val="00A56715"/>
    <w:rsid w:val="00A56A55"/>
    <w:rsid w:val="00A57EF8"/>
    <w:rsid w:val="00A608FE"/>
    <w:rsid w:val="00A61292"/>
    <w:rsid w:val="00A66749"/>
    <w:rsid w:val="00A66751"/>
    <w:rsid w:val="00A66847"/>
    <w:rsid w:val="00A66F46"/>
    <w:rsid w:val="00A732BC"/>
    <w:rsid w:val="00A73417"/>
    <w:rsid w:val="00A80431"/>
    <w:rsid w:val="00A83DE9"/>
    <w:rsid w:val="00A90C29"/>
    <w:rsid w:val="00A90E02"/>
    <w:rsid w:val="00A911BA"/>
    <w:rsid w:val="00A91BDD"/>
    <w:rsid w:val="00A92967"/>
    <w:rsid w:val="00A968B0"/>
    <w:rsid w:val="00AA0B1B"/>
    <w:rsid w:val="00AA1B8E"/>
    <w:rsid w:val="00AA2123"/>
    <w:rsid w:val="00AA21D3"/>
    <w:rsid w:val="00AA23D0"/>
    <w:rsid w:val="00AA3022"/>
    <w:rsid w:val="00AA4F54"/>
    <w:rsid w:val="00AA58C9"/>
    <w:rsid w:val="00AA59C1"/>
    <w:rsid w:val="00AA62B0"/>
    <w:rsid w:val="00AA7080"/>
    <w:rsid w:val="00AB5960"/>
    <w:rsid w:val="00AB5AE3"/>
    <w:rsid w:val="00AB7E29"/>
    <w:rsid w:val="00AC14FB"/>
    <w:rsid w:val="00AC2603"/>
    <w:rsid w:val="00AC447C"/>
    <w:rsid w:val="00AC7747"/>
    <w:rsid w:val="00AD18C5"/>
    <w:rsid w:val="00AD2ADB"/>
    <w:rsid w:val="00AD303F"/>
    <w:rsid w:val="00AD3048"/>
    <w:rsid w:val="00AD739A"/>
    <w:rsid w:val="00AE10CE"/>
    <w:rsid w:val="00AE12EE"/>
    <w:rsid w:val="00AE14FC"/>
    <w:rsid w:val="00AE3ABC"/>
    <w:rsid w:val="00AE5025"/>
    <w:rsid w:val="00AE6A04"/>
    <w:rsid w:val="00AF03C4"/>
    <w:rsid w:val="00AF0E7B"/>
    <w:rsid w:val="00AF194F"/>
    <w:rsid w:val="00AF32F6"/>
    <w:rsid w:val="00AF4597"/>
    <w:rsid w:val="00AF7C5B"/>
    <w:rsid w:val="00B020C6"/>
    <w:rsid w:val="00B03699"/>
    <w:rsid w:val="00B03E83"/>
    <w:rsid w:val="00B043E8"/>
    <w:rsid w:val="00B04B96"/>
    <w:rsid w:val="00B10AA2"/>
    <w:rsid w:val="00B11E82"/>
    <w:rsid w:val="00B12F79"/>
    <w:rsid w:val="00B151E4"/>
    <w:rsid w:val="00B15559"/>
    <w:rsid w:val="00B25FE8"/>
    <w:rsid w:val="00B262F8"/>
    <w:rsid w:val="00B270E4"/>
    <w:rsid w:val="00B3018E"/>
    <w:rsid w:val="00B31919"/>
    <w:rsid w:val="00B34E90"/>
    <w:rsid w:val="00B367E2"/>
    <w:rsid w:val="00B36A69"/>
    <w:rsid w:val="00B41656"/>
    <w:rsid w:val="00B416E2"/>
    <w:rsid w:val="00B42263"/>
    <w:rsid w:val="00B43239"/>
    <w:rsid w:val="00B43535"/>
    <w:rsid w:val="00B44223"/>
    <w:rsid w:val="00B4771E"/>
    <w:rsid w:val="00B51521"/>
    <w:rsid w:val="00B522A7"/>
    <w:rsid w:val="00B5273E"/>
    <w:rsid w:val="00B52751"/>
    <w:rsid w:val="00B537AA"/>
    <w:rsid w:val="00B5573C"/>
    <w:rsid w:val="00B60C85"/>
    <w:rsid w:val="00B60E2D"/>
    <w:rsid w:val="00B639B6"/>
    <w:rsid w:val="00B66DE0"/>
    <w:rsid w:val="00B6790C"/>
    <w:rsid w:val="00B71860"/>
    <w:rsid w:val="00B77F5F"/>
    <w:rsid w:val="00B80422"/>
    <w:rsid w:val="00B8268B"/>
    <w:rsid w:val="00B8368B"/>
    <w:rsid w:val="00B8528F"/>
    <w:rsid w:val="00B87913"/>
    <w:rsid w:val="00B92D6D"/>
    <w:rsid w:val="00B97852"/>
    <w:rsid w:val="00BA07A5"/>
    <w:rsid w:val="00BA6823"/>
    <w:rsid w:val="00BA7A3A"/>
    <w:rsid w:val="00BB1810"/>
    <w:rsid w:val="00BB2FBC"/>
    <w:rsid w:val="00BB46A5"/>
    <w:rsid w:val="00BB4CC1"/>
    <w:rsid w:val="00BB55E2"/>
    <w:rsid w:val="00BB5A26"/>
    <w:rsid w:val="00BB5CF7"/>
    <w:rsid w:val="00BB6D2B"/>
    <w:rsid w:val="00BC1F68"/>
    <w:rsid w:val="00BC6E47"/>
    <w:rsid w:val="00BD224C"/>
    <w:rsid w:val="00BE0133"/>
    <w:rsid w:val="00BE1AEC"/>
    <w:rsid w:val="00BE3BDF"/>
    <w:rsid w:val="00BE44AD"/>
    <w:rsid w:val="00BF2363"/>
    <w:rsid w:val="00BF3B0B"/>
    <w:rsid w:val="00BF4E90"/>
    <w:rsid w:val="00BF5E92"/>
    <w:rsid w:val="00BF716C"/>
    <w:rsid w:val="00C05B8A"/>
    <w:rsid w:val="00C05C52"/>
    <w:rsid w:val="00C116C9"/>
    <w:rsid w:val="00C117EE"/>
    <w:rsid w:val="00C127CE"/>
    <w:rsid w:val="00C14961"/>
    <w:rsid w:val="00C22909"/>
    <w:rsid w:val="00C27EF5"/>
    <w:rsid w:val="00C304ED"/>
    <w:rsid w:val="00C34BE3"/>
    <w:rsid w:val="00C365A2"/>
    <w:rsid w:val="00C36B9B"/>
    <w:rsid w:val="00C37432"/>
    <w:rsid w:val="00C410C0"/>
    <w:rsid w:val="00C430A8"/>
    <w:rsid w:val="00C43C0F"/>
    <w:rsid w:val="00C503F7"/>
    <w:rsid w:val="00C51997"/>
    <w:rsid w:val="00C61720"/>
    <w:rsid w:val="00C6287F"/>
    <w:rsid w:val="00C6581C"/>
    <w:rsid w:val="00C65B30"/>
    <w:rsid w:val="00C65F72"/>
    <w:rsid w:val="00C71F09"/>
    <w:rsid w:val="00C75A5F"/>
    <w:rsid w:val="00C77498"/>
    <w:rsid w:val="00C80194"/>
    <w:rsid w:val="00C8070A"/>
    <w:rsid w:val="00C831B5"/>
    <w:rsid w:val="00C84C19"/>
    <w:rsid w:val="00C87ED4"/>
    <w:rsid w:val="00C94C2D"/>
    <w:rsid w:val="00C95721"/>
    <w:rsid w:val="00C96529"/>
    <w:rsid w:val="00CA06C4"/>
    <w:rsid w:val="00CA60D0"/>
    <w:rsid w:val="00CB0A70"/>
    <w:rsid w:val="00CB1811"/>
    <w:rsid w:val="00CB24D5"/>
    <w:rsid w:val="00CB6838"/>
    <w:rsid w:val="00CB688E"/>
    <w:rsid w:val="00CC240E"/>
    <w:rsid w:val="00CC35E1"/>
    <w:rsid w:val="00CC3756"/>
    <w:rsid w:val="00CC3D5E"/>
    <w:rsid w:val="00CC64D6"/>
    <w:rsid w:val="00CD0216"/>
    <w:rsid w:val="00CD2678"/>
    <w:rsid w:val="00CD4328"/>
    <w:rsid w:val="00CD4A7C"/>
    <w:rsid w:val="00CD6F07"/>
    <w:rsid w:val="00CD7FBF"/>
    <w:rsid w:val="00CE0FCF"/>
    <w:rsid w:val="00CE1308"/>
    <w:rsid w:val="00CE2DB1"/>
    <w:rsid w:val="00CE3169"/>
    <w:rsid w:val="00CE79D2"/>
    <w:rsid w:val="00CF10E9"/>
    <w:rsid w:val="00CF236F"/>
    <w:rsid w:val="00CF309F"/>
    <w:rsid w:val="00CF4461"/>
    <w:rsid w:val="00CF7FD5"/>
    <w:rsid w:val="00D00C80"/>
    <w:rsid w:val="00D0457B"/>
    <w:rsid w:val="00D05582"/>
    <w:rsid w:val="00D1083B"/>
    <w:rsid w:val="00D12832"/>
    <w:rsid w:val="00D254FC"/>
    <w:rsid w:val="00D25C4C"/>
    <w:rsid w:val="00D260B6"/>
    <w:rsid w:val="00D3020B"/>
    <w:rsid w:val="00D32860"/>
    <w:rsid w:val="00D33725"/>
    <w:rsid w:val="00D340A0"/>
    <w:rsid w:val="00D3755A"/>
    <w:rsid w:val="00D41B21"/>
    <w:rsid w:val="00D42AC1"/>
    <w:rsid w:val="00D462CA"/>
    <w:rsid w:val="00D47A3F"/>
    <w:rsid w:val="00D5076F"/>
    <w:rsid w:val="00D51219"/>
    <w:rsid w:val="00D5148C"/>
    <w:rsid w:val="00D530C6"/>
    <w:rsid w:val="00D54C80"/>
    <w:rsid w:val="00D54D07"/>
    <w:rsid w:val="00D57767"/>
    <w:rsid w:val="00D57F2B"/>
    <w:rsid w:val="00D62F4B"/>
    <w:rsid w:val="00D63209"/>
    <w:rsid w:val="00D635E5"/>
    <w:rsid w:val="00D636EF"/>
    <w:rsid w:val="00D649FB"/>
    <w:rsid w:val="00D64CBA"/>
    <w:rsid w:val="00D71CB1"/>
    <w:rsid w:val="00D73D29"/>
    <w:rsid w:val="00D74A51"/>
    <w:rsid w:val="00D82014"/>
    <w:rsid w:val="00D82CEF"/>
    <w:rsid w:val="00D84692"/>
    <w:rsid w:val="00D85128"/>
    <w:rsid w:val="00D8778C"/>
    <w:rsid w:val="00D903CF"/>
    <w:rsid w:val="00D90FEB"/>
    <w:rsid w:val="00D9559F"/>
    <w:rsid w:val="00D97EAE"/>
    <w:rsid w:val="00DA4D54"/>
    <w:rsid w:val="00DA56C0"/>
    <w:rsid w:val="00DB37EF"/>
    <w:rsid w:val="00DB5A50"/>
    <w:rsid w:val="00DB5BC4"/>
    <w:rsid w:val="00DB6EFC"/>
    <w:rsid w:val="00DC0574"/>
    <w:rsid w:val="00DC3566"/>
    <w:rsid w:val="00DC376F"/>
    <w:rsid w:val="00DC7E16"/>
    <w:rsid w:val="00DD35AF"/>
    <w:rsid w:val="00DD5FB0"/>
    <w:rsid w:val="00DD6E4A"/>
    <w:rsid w:val="00DD6FC1"/>
    <w:rsid w:val="00DE0ED5"/>
    <w:rsid w:val="00DE16E1"/>
    <w:rsid w:val="00DE27E9"/>
    <w:rsid w:val="00DE2FCE"/>
    <w:rsid w:val="00DE3B5F"/>
    <w:rsid w:val="00DE3CDB"/>
    <w:rsid w:val="00DE4B89"/>
    <w:rsid w:val="00DE4F93"/>
    <w:rsid w:val="00DE74D1"/>
    <w:rsid w:val="00DF05F8"/>
    <w:rsid w:val="00DF11C7"/>
    <w:rsid w:val="00DF424E"/>
    <w:rsid w:val="00DF6605"/>
    <w:rsid w:val="00E00788"/>
    <w:rsid w:val="00E00AB5"/>
    <w:rsid w:val="00E01241"/>
    <w:rsid w:val="00E01B84"/>
    <w:rsid w:val="00E02A19"/>
    <w:rsid w:val="00E0588C"/>
    <w:rsid w:val="00E059BB"/>
    <w:rsid w:val="00E13A9F"/>
    <w:rsid w:val="00E2014C"/>
    <w:rsid w:val="00E227A7"/>
    <w:rsid w:val="00E25342"/>
    <w:rsid w:val="00E270DA"/>
    <w:rsid w:val="00E310A1"/>
    <w:rsid w:val="00E319EA"/>
    <w:rsid w:val="00E32750"/>
    <w:rsid w:val="00E34E40"/>
    <w:rsid w:val="00E360B4"/>
    <w:rsid w:val="00E36F3A"/>
    <w:rsid w:val="00E410F5"/>
    <w:rsid w:val="00E41B5D"/>
    <w:rsid w:val="00E42243"/>
    <w:rsid w:val="00E42DFD"/>
    <w:rsid w:val="00E4349B"/>
    <w:rsid w:val="00E4382E"/>
    <w:rsid w:val="00E44A74"/>
    <w:rsid w:val="00E44D98"/>
    <w:rsid w:val="00E44ED0"/>
    <w:rsid w:val="00E45982"/>
    <w:rsid w:val="00E46C17"/>
    <w:rsid w:val="00E46CC2"/>
    <w:rsid w:val="00E50F4B"/>
    <w:rsid w:val="00E5306F"/>
    <w:rsid w:val="00E53156"/>
    <w:rsid w:val="00E56A7D"/>
    <w:rsid w:val="00E617F1"/>
    <w:rsid w:val="00E658A1"/>
    <w:rsid w:val="00E65B0D"/>
    <w:rsid w:val="00E66556"/>
    <w:rsid w:val="00E66A92"/>
    <w:rsid w:val="00E704E9"/>
    <w:rsid w:val="00E72E60"/>
    <w:rsid w:val="00E73B87"/>
    <w:rsid w:val="00E75133"/>
    <w:rsid w:val="00E760C2"/>
    <w:rsid w:val="00E7640A"/>
    <w:rsid w:val="00E765B9"/>
    <w:rsid w:val="00E770DC"/>
    <w:rsid w:val="00E77CA1"/>
    <w:rsid w:val="00E83456"/>
    <w:rsid w:val="00E835BD"/>
    <w:rsid w:val="00E8367D"/>
    <w:rsid w:val="00E87B91"/>
    <w:rsid w:val="00E93E65"/>
    <w:rsid w:val="00E94113"/>
    <w:rsid w:val="00E94269"/>
    <w:rsid w:val="00E954E1"/>
    <w:rsid w:val="00E969DD"/>
    <w:rsid w:val="00EA1C99"/>
    <w:rsid w:val="00EA648D"/>
    <w:rsid w:val="00EB0641"/>
    <w:rsid w:val="00EB4305"/>
    <w:rsid w:val="00EB5B88"/>
    <w:rsid w:val="00EB5EB7"/>
    <w:rsid w:val="00EB72A0"/>
    <w:rsid w:val="00EC2DBD"/>
    <w:rsid w:val="00EC3DBE"/>
    <w:rsid w:val="00EC4511"/>
    <w:rsid w:val="00EC5AB0"/>
    <w:rsid w:val="00EC6BCA"/>
    <w:rsid w:val="00EC73E9"/>
    <w:rsid w:val="00ED2D9F"/>
    <w:rsid w:val="00ED3056"/>
    <w:rsid w:val="00ED372D"/>
    <w:rsid w:val="00ED4865"/>
    <w:rsid w:val="00ED58C2"/>
    <w:rsid w:val="00EE2800"/>
    <w:rsid w:val="00EE287C"/>
    <w:rsid w:val="00EE29D5"/>
    <w:rsid w:val="00EE328D"/>
    <w:rsid w:val="00EE6512"/>
    <w:rsid w:val="00EF00FF"/>
    <w:rsid w:val="00EF370C"/>
    <w:rsid w:val="00EF40DC"/>
    <w:rsid w:val="00EF51EA"/>
    <w:rsid w:val="00EF640A"/>
    <w:rsid w:val="00F009EF"/>
    <w:rsid w:val="00F0143F"/>
    <w:rsid w:val="00F05CA9"/>
    <w:rsid w:val="00F06931"/>
    <w:rsid w:val="00F06F05"/>
    <w:rsid w:val="00F07107"/>
    <w:rsid w:val="00F07D18"/>
    <w:rsid w:val="00F111AA"/>
    <w:rsid w:val="00F112B8"/>
    <w:rsid w:val="00F12A2D"/>
    <w:rsid w:val="00F1343B"/>
    <w:rsid w:val="00F14A45"/>
    <w:rsid w:val="00F16AE9"/>
    <w:rsid w:val="00F17523"/>
    <w:rsid w:val="00F20C54"/>
    <w:rsid w:val="00F2168C"/>
    <w:rsid w:val="00F21D10"/>
    <w:rsid w:val="00F227EA"/>
    <w:rsid w:val="00F248F0"/>
    <w:rsid w:val="00F27620"/>
    <w:rsid w:val="00F31543"/>
    <w:rsid w:val="00F331E2"/>
    <w:rsid w:val="00F35A7F"/>
    <w:rsid w:val="00F36665"/>
    <w:rsid w:val="00F400E4"/>
    <w:rsid w:val="00F40A39"/>
    <w:rsid w:val="00F4110A"/>
    <w:rsid w:val="00F41D36"/>
    <w:rsid w:val="00F41EA6"/>
    <w:rsid w:val="00F45821"/>
    <w:rsid w:val="00F501E0"/>
    <w:rsid w:val="00F504C7"/>
    <w:rsid w:val="00F5567C"/>
    <w:rsid w:val="00F60874"/>
    <w:rsid w:val="00F60BC5"/>
    <w:rsid w:val="00F66BFF"/>
    <w:rsid w:val="00F66C17"/>
    <w:rsid w:val="00F67BC3"/>
    <w:rsid w:val="00F711AF"/>
    <w:rsid w:val="00F76F92"/>
    <w:rsid w:val="00F81628"/>
    <w:rsid w:val="00F83C70"/>
    <w:rsid w:val="00F83FB9"/>
    <w:rsid w:val="00F85AC0"/>
    <w:rsid w:val="00F86A3A"/>
    <w:rsid w:val="00F87005"/>
    <w:rsid w:val="00F87704"/>
    <w:rsid w:val="00F87AFB"/>
    <w:rsid w:val="00F87E2A"/>
    <w:rsid w:val="00F87E67"/>
    <w:rsid w:val="00F92D33"/>
    <w:rsid w:val="00F9487F"/>
    <w:rsid w:val="00F968F4"/>
    <w:rsid w:val="00F97351"/>
    <w:rsid w:val="00F97591"/>
    <w:rsid w:val="00FA039B"/>
    <w:rsid w:val="00FA250F"/>
    <w:rsid w:val="00FA2A3B"/>
    <w:rsid w:val="00FA3EC1"/>
    <w:rsid w:val="00FA4294"/>
    <w:rsid w:val="00FA5A21"/>
    <w:rsid w:val="00FA5B83"/>
    <w:rsid w:val="00FA6E1E"/>
    <w:rsid w:val="00FB1814"/>
    <w:rsid w:val="00FB3F47"/>
    <w:rsid w:val="00FC0970"/>
    <w:rsid w:val="00FC12CD"/>
    <w:rsid w:val="00FC17F9"/>
    <w:rsid w:val="00FC19C1"/>
    <w:rsid w:val="00FC34AE"/>
    <w:rsid w:val="00FC5394"/>
    <w:rsid w:val="00FC64E2"/>
    <w:rsid w:val="00FD01B8"/>
    <w:rsid w:val="00FD335C"/>
    <w:rsid w:val="00FD370D"/>
    <w:rsid w:val="00FD501A"/>
    <w:rsid w:val="00FD6FF4"/>
    <w:rsid w:val="00FE0260"/>
    <w:rsid w:val="00FE0629"/>
    <w:rsid w:val="00FE1BFA"/>
    <w:rsid w:val="00FE36E8"/>
    <w:rsid w:val="00FE72E4"/>
    <w:rsid w:val="00FF2C39"/>
    <w:rsid w:val="00FF33FF"/>
    <w:rsid w:val="00FF3830"/>
    <w:rsid w:val="00FF7B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C8BA6-9B53-483B-92F5-9D9FEA055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126"/>
    <w:pPr>
      <w:spacing w:after="0" w:line="240" w:lineRule="auto"/>
    </w:pPr>
    <w:rPr>
      <w:rFonts w:ascii="Times New Roman" w:eastAsia="Times New Roman" w:hAnsi="Times New Roman" w:cs="Times New Roman"/>
      <w:sz w:val="20"/>
      <w:szCs w:val="20"/>
      <w:lang w:val="pt-BR" w:eastAsia="pt-B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32126"/>
    <w:pPr>
      <w:autoSpaceDE w:val="0"/>
      <w:autoSpaceDN w:val="0"/>
      <w:adjustRightInd w:val="0"/>
      <w:spacing w:after="0" w:line="240" w:lineRule="auto"/>
    </w:pPr>
    <w:rPr>
      <w:rFonts w:ascii="Times New Roman" w:eastAsia="Calibri" w:hAnsi="Times New Roman" w:cs="Times New Roman"/>
      <w:color w:val="000000"/>
      <w:sz w:val="24"/>
      <w:szCs w:val="24"/>
      <w:lang w:val="pt-BR" w:eastAsia="pt-BR"/>
    </w:rPr>
  </w:style>
  <w:style w:type="paragraph" w:customStyle="1" w:styleId="IASBNormalL1">
    <w:name w:val="IASB Normal L1"/>
    <w:basedOn w:val="Normal"/>
    <w:rsid w:val="00432126"/>
    <w:pPr>
      <w:spacing w:before="100"/>
      <w:ind w:left="782" w:hanging="782"/>
      <w:jc w:val="both"/>
    </w:pPr>
    <w:rPr>
      <w:sz w:val="19"/>
      <w:lang w:val="es-ES" w:eastAsia="es-ES" w:bidi="es-ES"/>
    </w:rPr>
  </w:style>
  <w:style w:type="paragraph" w:customStyle="1" w:styleId="IASBTableTNR">
    <w:name w:val="IASB Table TNR"/>
    <w:basedOn w:val="Normal"/>
    <w:qFormat/>
    <w:rsid w:val="00432126"/>
    <w:pPr>
      <w:spacing w:before="120"/>
    </w:pPr>
    <w:rPr>
      <w:sz w:val="19"/>
      <w:lang w:val="es-ES" w:eastAsia="es-ES" w:bidi="es-ES"/>
    </w:rPr>
  </w:style>
  <w:style w:type="paragraph" w:customStyle="1" w:styleId="IASBNormalL2">
    <w:name w:val="IASB Normal L2"/>
    <w:basedOn w:val="IASBNormalL1"/>
    <w:rsid w:val="00432126"/>
    <w:pPr>
      <w:ind w:left="1564"/>
    </w:pPr>
    <w:rPr>
      <w:lang w:bidi="ar-SA"/>
    </w:rPr>
  </w:style>
  <w:style w:type="paragraph" w:styleId="Prrafodelista">
    <w:name w:val="List Paragraph"/>
    <w:basedOn w:val="Normal"/>
    <w:uiPriority w:val="34"/>
    <w:qFormat/>
    <w:rsid w:val="00432126"/>
    <w:pPr>
      <w:spacing w:after="160" w:line="259"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41686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16867"/>
    <w:rPr>
      <w:rFonts w:ascii="Segoe UI" w:eastAsia="Times New Roman" w:hAnsi="Segoe UI" w:cs="Segoe UI"/>
      <w:sz w:val="18"/>
      <w:szCs w:val="18"/>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65412">
      <w:bodyDiv w:val="1"/>
      <w:marLeft w:val="0"/>
      <w:marRight w:val="0"/>
      <w:marTop w:val="0"/>
      <w:marBottom w:val="0"/>
      <w:divBdr>
        <w:top w:val="none" w:sz="0" w:space="0" w:color="auto"/>
        <w:left w:val="none" w:sz="0" w:space="0" w:color="auto"/>
        <w:bottom w:val="none" w:sz="0" w:space="0" w:color="auto"/>
        <w:right w:val="none" w:sz="0" w:space="0" w:color="auto"/>
      </w:divBdr>
    </w:div>
    <w:div w:id="77556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F2DA5-17C4-49AF-A4AF-C2711CBC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3171</Words>
  <Characters>17442</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Gaitan Leon</dc:creator>
  <cp:keywords/>
  <dc:description/>
  <cp:lastModifiedBy>Andrea Patricia Garzon Orjuela - Cont</cp:lastModifiedBy>
  <cp:revision>2</cp:revision>
  <dcterms:created xsi:type="dcterms:W3CDTF">2018-12-13T14:59:00Z</dcterms:created>
  <dcterms:modified xsi:type="dcterms:W3CDTF">2018-12-13T14:59:00Z</dcterms:modified>
</cp:coreProperties>
</file>